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C73AD">
      <w:pPr>
        <w:shd w:val="clear" w:color="auto" w:fill="FFFFFF"/>
        <w:spacing w:after="0" w:line="240" w:lineRule="auto"/>
        <w:rPr>
          <w:rFonts w:ascii="Verdana" w:hAnsi="Verdana" w:eastAsia="Times New Roman" w:cs="Times New Roman"/>
          <w:sz w:val="22"/>
          <w:lang w:eastAsia="ro-RO"/>
        </w:rPr>
      </w:pPr>
      <w:bookmarkStart w:id="0" w:name="do|caIV|ar31|al2|pa2"/>
      <w:bookmarkEnd w:id="0"/>
    </w:p>
    <w:p w14:paraId="62F329E9">
      <w:pPr>
        <w:shd w:val="clear" w:color="auto" w:fill="FFFFFF"/>
        <w:spacing w:after="0" w:line="240" w:lineRule="auto"/>
        <w:rPr>
          <w:rFonts w:ascii="Verdana" w:hAnsi="Verdana" w:eastAsia="Times New Roman" w:cs="Times New Roman"/>
          <w:color w:val="FF0000"/>
          <w:sz w:val="22"/>
          <w:vertAlign w:val="superscript"/>
          <w:lang w:eastAsia="ro-RO"/>
        </w:rPr>
      </w:pPr>
      <w:r>
        <w:rPr>
          <w:rFonts w:ascii="Verdana" w:hAnsi="Verdana" w:eastAsia="Times New Roman" w:cs="Times New Roman"/>
          <w:sz w:val="22"/>
          <w:lang w:eastAsia="ro-RO"/>
        </w:rPr>
        <w:t>Aprob</w:t>
      </w:r>
    </w:p>
    <w:p w14:paraId="2D2742A6">
      <w:pPr>
        <w:spacing w:after="0" w:line="240" w:lineRule="auto"/>
        <w:jc w:val="left"/>
        <w:rPr>
          <w:rFonts w:hint="default"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eastAsia="ro-RO"/>
        </w:rPr>
        <w:t>Director executiv</w:t>
      </w:r>
      <w:r>
        <w:rPr>
          <w:rFonts w:hint="default" w:ascii="Verdana" w:hAnsi="Verdana" w:eastAsia="Times New Roman" w:cs="Times New Roman"/>
          <w:color w:val="000000"/>
          <w:sz w:val="16"/>
          <w:szCs w:val="16"/>
          <w:lang w:val="en-US" w:eastAsia="ro-RO"/>
        </w:rPr>
        <w:t>,</w:t>
      </w:r>
    </w:p>
    <w:p w14:paraId="76EAB58C">
      <w:pPr>
        <w:spacing w:after="0" w:line="240" w:lineRule="auto"/>
        <w:jc w:val="left"/>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Crăciunescu Șerban Valeriu</w:t>
      </w:r>
    </w:p>
    <w:p w14:paraId="026B0E82">
      <w:pPr>
        <w:spacing w:after="0" w:line="240" w:lineRule="auto"/>
        <w:jc w:val="left"/>
        <w:rPr>
          <w:rFonts w:hint="default" w:ascii="Verdana" w:hAnsi="Verdana" w:eastAsia="Times New Roman" w:cs="Times New Roman"/>
          <w:color w:val="000000"/>
          <w:sz w:val="16"/>
          <w:szCs w:val="16"/>
          <w:lang w:val="en-US" w:eastAsia="ro-RO"/>
        </w:rPr>
      </w:pPr>
    </w:p>
    <w:tbl>
      <w:tblPr>
        <w:tblStyle w:val="3"/>
        <w:tblW w:w="9675" w:type="dxa"/>
        <w:tblCellSpacing w:w="0" w:type="dxa"/>
        <w:tblInd w:w="3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676"/>
        <w:gridCol w:w="5999"/>
      </w:tblGrid>
      <w:tr w14:paraId="0F8184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900" w:type="pct"/>
            <w:tcBorders>
              <w:top w:val="outset" w:color="auto" w:sz="6" w:space="0"/>
              <w:left w:val="outset" w:color="auto" w:sz="6" w:space="0"/>
              <w:bottom w:val="outset" w:color="auto" w:sz="6" w:space="0"/>
              <w:right w:val="outset" w:color="auto" w:sz="6" w:space="0"/>
            </w:tcBorders>
          </w:tcPr>
          <w:p w14:paraId="4F385E9F">
            <w:pPr>
              <w:spacing w:after="0" w:line="240" w:lineRule="auto"/>
              <w:jc w:val="center"/>
              <w:rPr>
                <w:rFonts w:ascii="Verdana" w:hAnsi="Verdana" w:eastAsia="Times New Roman" w:cs="Times New Roman"/>
                <w:color w:val="000000"/>
                <w:sz w:val="16"/>
                <w:szCs w:val="16"/>
                <w:lang w:eastAsia="ro-RO"/>
              </w:rPr>
            </w:pPr>
            <w:bookmarkStart w:id="1" w:name="do|caIV|ar31|al2|pa3"/>
            <w:bookmarkEnd w:id="1"/>
            <w:r>
              <w:rPr>
                <w:rFonts w:ascii="Verdana" w:hAnsi="Verdana" w:eastAsia="Times New Roman" w:cs="Times New Roman"/>
                <w:color w:val="000000"/>
                <w:sz w:val="16"/>
                <w:szCs w:val="16"/>
                <w:lang w:eastAsia="ro-RO"/>
              </w:rPr>
              <w:t>Denumirea autorităţii sau instituţiei publice</w:t>
            </w:r>
          </w:p>
        </w:tc>
        <w:tc>
          <w:tcPr>
            <w:tcW w:w="3150" w:type="pct"/>
            <w:tcBorders>
              <w:top w:val="outset" w:color="auto" w:sz="6" w:space="0"/>
              <w:left w:val="outset" w:color="auto" w:sz="6" w:space="0"/>
              <w:bottom w:val="outset" w:color="auto" w:sz="6" w:space="0"/>
              <w:right w:val="outset" w:color="auto" w:sz="6" w:space="0"/>
            </w:tcBorders>
          </w:tcPr>
          <w:p w14:paraId="4BCA8C4B">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Direcţia</w:t>
            </w:r>
            <w:r>
              <w:rPr>
                <w:rFonts w:ascii="Verdana" w:hAnsi="Verdana" w:eastAsia="Times New Roman" w:cs="Times New Roman"/>
                <w:color w:val="000000"/>
                <w:sz w:val="16"/>
                <w:szCs w:val="16"/>
                <w:lang w:val="it-IT" w:eastAsia="ro-RO"/>
              </w:rPr>
              <w:t xml:space="preserve"> Judeteana pentru Cultură Giurgiu</w:t>
            </w:r>
          </w:p>
        </w:tc>
      </w:tr>
      <w:tr w14:paraId="30119C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900" w:type="pct"/>
            <w:tcBorders>
              <w:top w:val="outset" w:color="auto" w:sz="6" w:space="0"/>
              <w:left w:val="outset" w:color="auto" w:sz="6" w:space="0"/>
              <w:bottom w:val="outset" w:color="auto" w:sz="6" w:space="0"/>
              <w:right w:val="outset" w:color="auto" w:sz="6" w:space="0"/>
            </w:tcBorders>
          </w:tcPr>
          <w:p w14:paraId="0864B738">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Direcţia generală</w:t>
            </w:r>
          </w:p>
        </w:tc>
        <w:tc>
          <w:tcPr>
            <w:tcW w:w="3150" w:type="pct"/>
            <w:tcBorders>
              <w:top w:val="outset" w:color="auto" w:sz="6" w:space="0"/>
              <w:left w:val="outset" w:color="auto" w:sz="6" w:space="0"/>
              <w:bottom w:val="outset" w:color="auto" w:sz="6" w:space="0"/>
              <w:right w:val="outset" w:color="auto" w:sz="6" w:space="0"/>
            </w:tcBorders>
          </w:tcPr>
          <w:p w14:paraId="4DBE1A68">
            <w:pPr>
              <w:spacing w:after="0" w:line="240" w:lineRule="auto"/>
              <w:jc w:val="center"/>
              <w:rPr>
                <w:rFonts w:ascii="Verdana" w:hAnsi="Verdana" w:eastAsia="Times New Roman" w:cs="Times New Roman"/>
                <w:color w:val="000000"/>
                <w:sz w:val="16"/>
                <w:szCs w:val="16"/>
                <w:lang w:eastAsia="ro-RO"/>
              </w:rPr>
            </w:pPr>
          </w:p>
        </w:tc>
      </w:tr>
      <w:tr w14:paraId="6508A5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900" w:type="pct"/>
            <w:tcBorders>
              <w:top w:val="outset" w:color="auto" w:sz="6" w:space="0"/>
              <w:left w:val="outset" w:color="auto" w:sz="6" w:space="0"/>
              <w:bottom w:val="outset" w:color="auto" w:sz="6" w:space="0"/>
              <w:right w:val="outset" w:color="auto" w:sz="6" w:space="0"/>
            </w:tcBorders>
          </w:tcPr>
          <w:p w14:paraId="597B9B8F">
            <w:pPr>
              <w:spacing w:after="0" w:line="240" w:lineRule="auto"/>
              <w:jc w:val="center"/>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eastAsia="ro-RO"/>
              </w:rPr>
              <w:t>Direcţia</w:t>
            </w:r>
            <w:r>
              <w:rPr>
                <w:rFonts w:ascii="Verdana" w:hAnsi="Verdana" w:eastAsia="Times New Roman" w:cs="Times New Roman"/>
                <w:color w:val="000000"/>
                <w:sz w:val="16"/>
                <w:szCs w:val="16"/>
                <w:lang w:val="en-US" w:eastAsia="ro-RO"/>
              </w:rPr>
              <w:t xml:space="preserve"> </w:t>
            </w:r>
          </w:p>
        </w:tc>
        <w:tc>
          <w:tcPr>
            <w:tcW w:w="3150" w:type="pct"/>
            <w:tcBorders>
              <w:top w:val="outset" w:color="auto" w:sz="6" w:space="0"/>
              <w:left w:val="outset" w:color="auto" w:sz="6" w:space="0"/>
              <w:bottom w:val="outset" w:color="auto" w:sz="6" w:space="0"/>
              <w:right w:val="outset" w:color="auto" w:sz="6" w:space="0"/>
            </w:tcBorders>
          </w:tcPr>
          <w:p w14:paraId="27929810">
            <w:pPr>
              <w:spacing w:after="0" w:line="240" w:lineRule="auto"/>
              <w:jc w:val="center"/>
              <w:rPr>
                <w:rFonts w:ascii="Verdana" w:hAnsi="Verdana" w:eastAsia="Times New Roman" w:cs="Times New Roman"/>
                <w:color w:val="000000"/>
                <w:sz w:val="16"/>
                <w:szCs w:val="16"/>
                <w:lang w:eastAsia="ro-RO"/>
              </w:rPr>
            </w:pPr>
          </w:p>
        </w:tc>
      </w:tr>
      <w:tr w14:paraId="089C92F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900" w:type="pct"/>
            <w:tcBorders>
              <w:top w:val="outset" w:color="auto" w:sz="6" w:space="0"/>
              <w:left w:val="outset" w:color="auto" w:sz="6" w:space="0"/>
              <w:bottom w:val="outset" w:color="auto" w:sz="6" w:space="0"/>
              <w:right w:val="outset" w:color="auto" w:sz="6" w:space="0"/>
            </w:tcBorders>
          </w:tcPr>
          <w:p w14:paraId="7FD7672D">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Serviciul</w:t>
            </w:r>
          </w:p>
        </w:tc>
        <w:tc>
          <w:tcPr>
            <w:tcW w:w="3150" w:type="pct"/>
            <w:tcBorders>
              <w:top w:val="outset" w:color="auto" w:sz="6" w:space="0"/>
              <w:left w:val="outset" w:color="auto" w:sz="6" w:space="0"/>
              <w:bottom w:val="outset" w:color="auto" w:sz="6" w:space="0"/>
              <w:right w:val="outset" w:color="auto" w:sz="6" w:space="0"/>
            </w:tcBorders>
          </w:tcPr>
          <w:p w14:paraId="36AB87B6">
            <w:pPr>
              <w:spacing w:after="0" w:line="240" w:lineRule="auto"/>
              <w:jc w:val="center"/>
              <w:rPr>
                <w:rFonts w:ascii="Verdana" w:hAnsi="Verdana" w:eastAsia="Times New Roman" w:cs="Times New Roman"/>
                <w:color w:val="000000"/>
                <w:sz w:val="16"/>
                <w:szCs w:val="16"/>
                <w:lang w:eastAsia="ro-RO"/>
              </w:rPr>
            </w:pPr>
          </w:p>
        </w:tc>
      </w:tr>
      <w:tr w14:paraId="2CC45A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900" w:type="pct"/>
            <w:tcBorders>
              <w:top w:val="outset" w:color="auto" w:sz="6" w:space="0"/>
              <w:left w:val="outset" w:color="auto" w:sz="6" w:space="0"/>
              <w:bottom w:val="outset" w:color="auto" w:sz="6" w:space="0"/>
              <w:right w:val="outset" w:color="auto" w:sz="6" w:space="0"/>
            </w:tcBorders>
          </w:tcPr>
          <w:p w14:paraId="24577E2C">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Biroul/Compartimentul</w:t>
            </w:r>
          </w:p>
        </w:tc>
        <w:tc>
          <w:tcPr>
            <w:tcW w:w="3150" w:type="pct"/>
            <w:tcBorders>
              <w:top w:val="outset" w:color="auto" w:sz="6" w:space="0"/>
              <w:left w:val="outset" w:color="auto" w:sz="6" w:space="0"/>
              <w:bottom w:val="outset" w:color="auto" w:sz="6" w:space="0"/>
              <w:right w:val="outset" w:color="auto" w:sz="6" w:space="0"/>
            </w:tcBorders>
          </w:tcPr>
          <w:p w14:paraId="42E3A89A">
            <w:pPr>
              <w:pStyle w:val="4"/>
              <w:rPr>
                <w:rFonts w:ascii="Times New Roman" w:hAnsi="Times New Roman" w:cs="Times New Roman"/>
                <w:color w:val="000000"/>
                <w:szCs w:val="24"/>
                <w:lang w:val="it-IT"/>
              </w:rPr>
            </w:pPr>
            <w:r>
              <w:rPr>
                <w:rFonts w:ascii="Times New Roman" w:hAnsi="Times New Roman" w:cs="Times New Roman"/>
                <w:color w:val="000000"/>
                <w:szCs w:val="24"/>
                <w:lang w:val="it-IT"/>
              </w:rPr>
              <w:t>F</w:t>
            </w:r>
            <w:r>
              <w:rPr>
                <w:rFonts w:ascii="Verdana" w:hAnsi="Verdana" w:eastAsia="Times New Roman" w:cs="Times New Roman"/>
                <w:color w:val="000000"/>
                <w:sz w:val="16"/>
                <w:szCs w:val="16"/>
                <w:lang w:val="it-IT" w:eastAsia="ro-RO"/>
              </w:rPr>
              <w:t>inanciar – Contabilitate, Salarizare, Administrativ, Achizitii publice</w:t>
            </w:r>
          </w:p>
          <w:p w14:paraId="7A7E754F">
            <w:pPr>
              <w:spacing w:after="0" w:line="240" w:lineRule="auto"/>
              <w:jc w:val="center"/>
              <w:rPr>
                <w:rFonts w:ascii="Verdana" w:hAnsi="Verdana" w:eastAsia="Times New Roman" w:cs="Times New Roman"/>
                <w:color w:val="000000"/>
                <w:sz w:val="16"/>
                <w:szCs w:val="16"/>
                <w:lang w:eastAsia="ro-RO"/>
              </w:rPr>
            </w:pPr>
            <w:r>
              <w:rPr>
                <w:rFonts w:ascii="Times New Roman" w:hAnsi="Times New Roman" w:cs="Times New Roman"/>
                <w:color w:val="000000"/>
                <w:szCs w:val="24"/>
                <w:lang w:val="it-IT"/>
              </w:rPr>
              <w:br w:type="textWrapping"/>
            </w:r>
          </w:p>
        </w:tc>
      </w:tr>
    </w:tbl>
    <w:p w14:paraId="25A5DDE0">
      <w:pPr>
        <w:shd w:val="clear" w:color="auto" w:fill="FFFFFF"/>
        <w:spacing w:after="0" w:line="240" w:lineRule="auto"/>
        <w:rPr>
          <w:rFonts w:ascii="Verdana" w:hAnsi="Verdana" w:eastAsia="Times New Roman" w:cs="Times New Roman"/>
          <w:sz w:val="22"/>
          <w:lang w:eastAsia="ro-RO"/>
        </w:rPr>
      </w:pPr>
      <w:bookmarkStart w:id="2" w:name="do|caIV|ar31|al2|pa4"/>
      <w:bookmarkEnd w:id="2"/>
      <w:r>
        <w:rPr>
          <w:rFonts w:ascii="Verdana" w:hAnsi="Verdana" w:eastAsia="Times New Roman" w:cs="Times New Roman"/>
          <w:b/>
          <w:bCs/>
          <w:sz w:val="22"/>
          <w:lang w:eastAsia="ro-RO"/>
        </w:rPr>
        <w:t>FIŞA POSTULUI STANDARDIZATĂ</w:t>
      </w:r>
    </w:p>
    <w:p w14:paraId="5296262F">
      <w:pPr>
        <w:shd w:val="clear" w:color="auto" w:fill="FFFFFF"/>
        <w:spacing w:after="0" w:line="240" w:lineRule="auto"/>
        <w:rPr>
          <w:rFonts w:hint="default" w:ascii="Verdana" w:hAnsi="Verdana" w:eastAsia="Times New Roman" w:cs="Times New Roman"/>
          <w:sz w:val="22"/>
          <w:lang w:val="en-US" w:eastAsia="ro-RO"/>
        </w:rPr>
      </w:pPr>
      <w:bookmarkStart w:id="3" w:name="do|caIV|ar31|al2|pa5"/>
      <w:bookmarkEnd w:id="3"/>
      <w:r>
        <w:rPr>
          <w:rFonts w:ascii="Verdana" w:hAnsi="Verdana" w:eastAsia="Times New Roman" w:cs="Times New Roman"/>
          <w:b/>
          <w:bCs/>
          <w:sz w:val="22"/>
          <w:lang w:eastAsia="ro-RO"/>
        </w:rPr>
        <w:t xml:space="preserve">Nr. </w:t>
      </w:r>
      <w:r>
        <w:rPr>
          <w:rFonts w:hint="default" w:ascii="Verdana" w:hAnsi="Verdana" w:eastAsia="Times New Roman" w:cs="Times New Roman"/>
          <w:b/>
          <w:bCs/>
          <w:sz w:val="22"/>
          <w:lang w:val="en-US" w:eastAsia="ro-RO"/>
        </w:rPr>
        <w:t>2</w:t>
      </w:r>
    </w:p>
    <w:tbl>
      <w:tblPr>
        <w:tblStyle w:val="3"/>
        <w:tblW w:w="5324" w:type="pct"/>
        <w:tblCellSpacing w:w="0" w:type="dxa"/>
        <w:tblInd w:w="3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831"/>
        <w:gridCol w:w="1844"/>
        <w:gridCol w:w="2998"/>
        <w:gridCol w:w="3002"/>
      </w:tblGrid>
      <w:tr w14:paraId="1B644C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1ACF5758">
            <w:pPr>
              <w:spacing w:after="0" w:line="240" w:lineRule="auto"/>
              <w:jc w:val="center"/>
              <w:rPr>
                <w:rFonts w:ascii="Verdana" w:hAnsi="Verdana" w:eastAsia="Times New Roman" w:cs="Times New Roman"/>
                <w:color w:val="000000"/>
                <w:sz w:val="16"/>
                <w:szCs w:val="16"/>
                <w:lang w:eastAsia="ro-RO"/>
              </w:rPr>
            </w:pPr>
            <w:bookmarkStart w:id="4" w:name="do|caIV|ar31|al2|pa6"/>
            <w:bookmarkEnd w:id="4"/>
            <w:r>
              <w:rPr>
                <w:rFonts w:ascii="Verdana" w:hAnsi="Verdana" w:eastAsia="Times New Roman" w:cs="Times New Roman"/>
                <w:b/>
                <w:bCs/>
                <w:color w:val="000000"/>
                <w:sz w:val="16"/>
                <w:szCs w:val="16"/>
                <w:lang w:eastAsia="ro-RO"/>
              </w:rPr>
              <w:t>Informaţii generale privind postul</w:t>
            </w:r>
          </w:p>
        </w:tc>
      </w:tr>
      <w:tr w14:paraId="029CC6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4DA716D">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Denumirea postului</w:t>
            </w:r>
          </w:p>
        </w:tc>
        <w:tc>
          <w:tcPr>
            <w:tcW w:w="3100" w:type="pct"/>
            <w:gridSpan w:val="2"/>
            <w:tcBorders>
              <w:top w:val="outset" w:color="auto" w:sz="6" w:space="0"/>
              <w:left w:val="outset" w:color="auto" w:sz="6" w:space="0"/>
              <w:bottom w:val="outset" w:color="auto" w:sz="6" w:space="0"/>
              <w:right w:val="outset" w:color="auto" w:sz="6" w:space="0"/>
            </w:tcBorders>
          </w:tcPr>
          <w:p w14:paraId="0B38DDC2">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CONSILIER</w:t>
            </w:r>
          </w:p>
        </w:tc>
      </w:tr>
      <w:tr w14:paraId="71A824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670A0A1">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Nivelul postului</w:t>
            </w:r>
          </w:p>
        </w:tc>
        <w:tc>
          <w:tcPr>
            <w:tcW w:w="3100" w:type="pct"/>
            <w:gridSpan w:val="2"/>
            <w:tcBorders>
              <w:top w:val="outset" w:color="auto" w:sz="6" w:space="0"/>
              <w:left w:val="outset" w:color="auto" w:sz="6" w:space="0"/>
              <w:bottom w:val="outset" w:color="auto" w:sz="6" w:space="0"/>
              <w:right w:val="outset" w:color="auto" w:sz="6" w:space="0"/>
            </w:tcBorders>
          </w:tcPr>
          <w:p w14:paraId="5A5D97D0">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EXECUȚIE</w:t>
            </w:r>
          </w:p>
        </w:tc>
      </w:tr>
      <w:tr w14:paraId="2BF7D3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23B6D84">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Clasa</w:t>
            </w:r>
          </w:p>
        </w:tc>
        <w:tc>
          <w:tcPr>
            <w:tcW w:w="3100" w:type="pct"/>
            <w:gridSpan w:val="2"/>
            <w:tcBorders>
              <w:top w:val="outset" w:color="auto" w:sz="6" w:space="0"/>
              <w:left w:val="outset" w:color="auto" w:sz="6" w:space="0"/>
              <w:bottom w:val="outset" w:color="auto" w:sz="6" w:space="0"/>
              <w:right w:val="outset" w:color="auto" w:sz="6" w:space="0"/>
            </w:tcBorders>
          </w:tcPr>
          <w:p w14:paraId="1173B437">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I</w:t>
            </w:r>
          </w:p>
        </w:tc>
      </w:tr>
      <w:tr w14:paraId="37D48A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0DAE52C4">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Gradul profesional</w:t>
            </w:r>
          </w:p>
        </w:tc>
        <w:tc>
          <w:tcPr>
            <w:tcW w:w="3100" w:type="pct"/>
            <w:gridSpan w:val="2"/>
            <w:tcBorders>
              <w:top w:val="outset" w:color="auto" w:sz="6" w:space="0"/>
              <w:left w:val="outset" w:color="auto" w:sz="6" w:space="0"/>
              <w:bottom w:val="outset" w:color="auto" w:sz="6" w:space="0"/>
              <w:right w:val="outset" w:color="auto" w:sz="6" w:space="0"/>
            </w:tcBorders>
          </w:tcPr>
          <w:p w14:paraId="07F5E997">
            <w:pPr>
              <w:spacing w:after="0" w:line="240" w:lineRule="auto"/>
              <w:jc w:val="left"/>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SUPERIOR</w:t>
            </w:r>
          </w:p>
        </w:tc>
      </w:tr>
      <w:tr w14:paraId="1F5377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BBB8B15">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Vechimea în specialitate necesară</w:t>
            </w:r>
          </w:p>
        </w:tc>
        <w:tc>
          <w:tcPr>
            <w:tcW w:w="3100" w:type="pct"/>
            <w:gridSpan w:val="2"/>
            <w:tcBorders>
              <w:top w:val="outset" w:color="auto" w:sz="6" w:space="0"/>
              <w:left w:val="outset" w:color="auto" w:sz="6" w:space="0"/>
              <w:bottom w:val="outset" w:color="auto" w:sz="6" w:space="0"/>
              <w:right w:val="outset" w:color="auto" w:sz="6" w:space="0"/>
            </w:tcBorders>
          </w:tcPr>
          <w:p w14:paraId="545C70D6">
            <w:pPr>
              <w:spacing w:after="0" w:line="240" w:lineRule="auto"/>
              <w:jc w:val="left"/>
              <w:rPr>
                <w:rFonts w:ascii="Verdana" w:hAnsi="Verdana" w:eastAsia="Times New Roman" w:cs="Times New Roman"/>
                <w:color w:val="000000"/>
                <w:sz w:val="16"/>
                <w:szCs w:val="16"/>
                <w:lang w:eastAsia="ro-RO"/>
              </w:rPr>
            </w:pPr>
            <w:r>
              <w:rPr>
                <w:rFonts w:hint="default" w:ascii="Verdana" w:hAnsi="Verdana" w:eastAsia="Times New Roman" w:cs="Times New Roman"/>
                <w:color w:val="000000"/>
                <w:sz w:val="16"/>
                <w:szCs w:val="16"/>
                <w:lang w:val="en-GB" w:eastAsia="ro-RO" w:bidi="ar-SA"/>
              </w:rPr>
              <w:t>minimum 7 ani vechime în specialitatea studiilor, conform cerințelor legale aplicabile funcției publice de grad profesional superior</w:t>
            </w:r>
          </w:p>
        </w:tc>
      </w:tr>
      <w:tr w14:paraId="20EBE25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57CBCF87">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Descrierea postului</w:t>
            </w:r>
          </w:p>
        </w:tc>
      </w:tr>
      <w:tr w14:paraId="7FC2D3A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016BF47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Scopul principal al postului</w:t>
            </w:r>
            <w:r>
              <w:rPr>
                <w:rFonts w:ascii="Verdana" w:hAnsi="Verdana" w:eastAsia="Times New Roman" w:cs="Times New Roman"/>
                <w:color w:val="000000"/>
                <w:sz w:val="16"/>
                <w:szCs w:val="16"/>
                <w:vertAlign w:val="superscript"/>
                <w:lang w:eastAsia="ro-RO"/>
              </w:rPr>
              <w:t>2</w:t>
            </w:r>
          </w:p>
        </w:tc>
        <w:tc>
          <w:tcPr>
            <w:tcW w:w="3100" w:type="pct"/>
            <w:gridSpan w:val="2"/>
            <w:tcBorders>
              <w:top w:val="outset" w:color="auto" w:sz="6" w:space="0"/>
              <w:left w:val="outset" w:color="auto" w:sz="6" w:space="0"/>
              <w:bottom w:val="outset" w:color="auto" w:sz="6" w:space="0"/>
              <w:right w:val="outset" w:color="auto" w:sz="6" w:space="0"/>
            </w:tcBorders>
          </w:tcPr>
          <w:p w14:paraId="3DDFCE49">
            <w:pPr>
              <w:spacing w:after="0" w:line="240" w:lineRule="auto"/>
              <w:jc w:val="left"/>
            </w:pPr>
            <w:r>
              <w:rPr>
                <w:rFonts w:ascii="Verdana" w:hAnsi="Verdana" w:eastAsia="Times New Roman" w:cs="Times New Roman"/>
                <w:color w:val="000000"/>
                <w:sz w:val="16"/>
                <w:szCs w:val="16"/>
                <w:lang w:eastAsia="ro-RO"/>
              </w:rPr>
              <w:t>Derularea activității de financiar-contabilitate;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Coordonarea și executarea atribuțiilor specifice financiar-contabile;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Îndeplinirea atribuțiilor specifice achizițiilor publice, în limitele competențelor stabilite prin actele administrative interne și cu respectarea legislației în vigoare.</w:t>
            </w:r>
          </w:p>
        </w:tc>
      </w:tr>
      <w:tr w14:paraId="74B5DD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409D1CCB">
            <w:pPr>
              <w:spacing w:after="0" w:line="240" w:lineRule="auto"/>
              <w:jc w:val="left"/>
              <w:rPr>
                <w:rFonts w:ascii="Verdana" w:hAnsi="Verdana" w:eastAsia="Times New Roman" w:cs="Times New Roman"/>
                <w:color w:val="000000"/>
                <w:sz w:val="16"/>
                <w:szCs w:val="16"/>
                <w:vertAlign w:val="superscript"/>
                <w:lang w:eastAsia="ro-RO"/>
              </w:rPr>
            </w:pPr>
            <w:r>
              <w:rPr>
                <w:rFonts w:ascii="Verdana" w:hAnsi="Verdana" w:eastAsia="Times New Roman" w:cs="Times New Roman"/>
                <w:color w:val="000000"/>
                <w:sz w:val="16"/>
                <w:szCs w:val="16"/>
                <w:lang w:eastAsia="ro-RO"/>
              </w:rPr>
              <w:t>Atribuţiile postului</w:t>
            </w:r>
            <w:r>
              <w:rPr>
                <w:rFonts w:ascii="Verdana" w:hAnsi="Verdana" w:eastAsia="Times New Roman" w:cs="Times New Roman"/>
                <w:color w:val="000000"/>
                <w:sz w:val="16"/>
                <w:szCs w:val="16"/>
                <w:vertAlign w:val="superscript"/>
                <w:lang w:eastAsia="ro-RO"/>
              </w:rPr>
              <w:t>3</w:t>
            </w:r>
          </w:p>
          <w:p w14:paraId="0C9AC83A">
            <w:pPr>
              <w:spacing w:after="0" w:line="240" w:lineRule="auto"/>
              <w:rPr>
                <w:rFonts w:ascii="Verdana" w:hAnsi="Verdana" w:eastAsia="Times New Roman" w:cs="Times New Roman"/>
                <w:color w:val="000000"/>
                <w:sz w:val="16"/>
                <w:szCs w:val="16"/>
                <w:lang w:eastAsia="ro-RO"/>
              </w:rPr>
            </w:pPr>
            <w:r>
              <w:rPr>
                <w:rFonts w:hint="default" w:cs="Arial"/>
                <w:color w:val="000000" w:themeColor="text1"/>
                <w:sz w:val="22"/>
                <w:szCs w:val="22"/>
                <w:lang w:val="ro-RO"/>
                <w14:textFill>
                  <w14:solidFill>
                    <w14:schemeClr w14:val="tx1"/>
                  </w14:solidFill>
                </w14:textFill>
              </w:rPr>
              <w:t>1.</w:t>
            </w:r>
            <w:r>
              <w:rPr>
                <w:rFonts w:ascii="Verdana" w:hAnsi="Verdana" w:eastAsia="Times New Roman" w:cs="Times New Roman"/>
                <w:color w:val="000000"/>
                <w:sz w:val="16"/>
                <w:szCs w:val="16"/>
                <w:lang w:eastAsia="ro-RO"/>
              </w:rPr>
              <w:t>urmăreşte derularea contractelor prin încadrarea plăţilor efectuate în prevederile aprobate</w:t>
            </w:r>
          </w:p>
          <w:p w14:paraId="77F53556">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2.</w:t>
            </w:r>
            <w:r>
              <w:rPr>
                <w:rFonts w:ascii="Verdana" w:hAnsi="Verdana" w:eastAsia="Times New Roman" w:cs="Times New Roman"/>
                <w:color w:val="000000"/>
                <w:sz w:val="16"/>
                <w:szCs w:val="16"/>
                <w:lang w:eastAsia="ro-RO"/>
              </w:rPr>
              <w:t>analizează disponibilul din extrasele de cont pentru încadrarea în limita creditelor bugetare deschise efectuează operaţiuni de plăţi prin casierie şi prin Trezoreria Statului din creditele bugetare aprobate şi din veniturile extrabugetare încasate pe seama Direcţiei, în baza documentelor aprobate, conform legislaţiei în vigoare</w:t>
            </w:r>
            <w:r>
              <w:rPr>
                <w:rFonts w:hint="default" w:ascii="Verdana" w:hAnsi="Verdana" w:eastAsia="Times New Roman" w:cs="Times New Roman"/>
                <w:color w:val="000000"/>
                <w:sz w:val="16"/>
                <w:szCs w:val="16"/>
                <w:lang w:val="ro-RO" w:eastAsia="ro-RO"/>
              </w:rPr>
              <w:t>;</w:t>
            </w:r>
          </w:p>
          <w:p w14:paraId="50C37F06">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3.</w:t>
            </w:r>
            <w:r>
              <w:rPr>
                <w:rFonts w:ascii="Verdana" w:hAnsi="Verdana" w:eastAsia="Times New Roman" w:cs="Times New Roman"/>
                <w:color w:val="000000"/>
                <w:sz w:val="16"/>
                <w:szCs w:val="16"/>
                <w:lang w:eastAsia="ro-RO"/>
              </w:rPr>
              <w:t>organizează și răspunde de evidența contabilă a elementelor patrimoniale de natura activelor, datoriilor și capitalurilor proprii, a veniturilor și cheltuielilor în baze contabile de numerar și de angajamente, cu respectarea actelor normative în vigoare</w:t>
            </w:r>
            <w:r>
              <w:rPr>
                <w:rFonts w:hint="default" w:ascii="Verdana" w:hAnsi="Verdana" w:eastAsia="Times New Roman" w:cs="Times New Roman"/>
                <w:color w:val="000000"/>
                <w:sz w:val="16"/>
                <w:szCs w:val="16"/>
                <w:lang w:val="ro-RO" w:eastAsia="ro-RO"/>
              </w:rPr>
              <w:t>;</w:t>
            </w:r>
          </w:p>
          <w:p w14:paraId="40E1DD60">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4.</w:t>
            </w:r>
            <w:r>
              <w:rPr>
                <w:rFonts w:ascii="Verdana" w:hAnsi="Verdana" w:eastAsia="Times New Roman" w:cs="Times New Roman"/>
                <w:color w:val="000000"/>
                <w:sz w:val="16"/>
                <w:szCs w:val="16"/>
                <w:lang w:eastAsia="ro-RO"/>
              </w:rPr>
              <w:t>efectuează inventarierea generală a elementelor de natura activelor, datoriilor și capitalurilor proprii deținute, cel puțin o dată în cursul exercițiului financiar și/sau în alte situații prevăzute de lege și înregistrează în contabilitate rezultatul inventarierii</w:t>
            </w:r>
            <w:r>
              <w:rPr>
                <w:rFonts w:hint="default" w:ascii="Verdana" w:hAnsi="Verdana" w:eastAsia="Times New Roman" w:cs="Times New Roman"/>
                <w:color w:val="000000"/>
                <w:sz w:val="16"/>
                <w:szCs w:val="16"/>
                <w:lang w:val="ro-RO" w:eastAsia="ro-RO"/>
              </w:rPr>
              <w:t>;</w:t>
            </w:r>
          </w:p>
          <w:p w14:paraId="78CB5DE7">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5.</w:t>
            </w:r>
            <w:r>
              <w:rPr>
                <w:rFonts w:ascii="Verdana" w:hAnsi="Verdana" w:eastAsia="Times New Roman" w:cs="Times New Roman"/>
                <w:color w:val="000000"/>
                <w:sz w:val="16"/>
                <w:szCs w:val="16"/>
                <w:lang w:eastAsia="ro-RO"/>
              </w:rPr>
              <w:t>efectuează inventarierea generală a elementelor de natura activelor, datoriilor și capitalurilor proprii deținute, cel puțin o dată în cursul exercițiului financiar și/sau în alte situații prevăzute de lege și înregistrează în contabilitate rezultatul inventarierii</w:t>
            </w:r>
            <w:r>
              <w:rPr>
                <w:rFonts w:hint="default" w:ascii="Verdana" w:hAnsi="Verdana" w:eastAsia="Times New Roman" w:cs="Times New Roman"/>
                <w:color w:val="000000"/>
                <w:sz w:val="16"/>
                <w:szCs w:val="16"/>
                <w:lang w:val="ro-RO" w:eastAsia="ro-RO"/>
              </w:rPr>
              <w:t>;</w:t>
            </w:r>
          </w:p>
          <w:p w14:paraId="7B28348E">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6.</w:t>
            </w:r>
            <w:r>
              <w:rPr>
                <w:rFonts w:ascii="Verdana" w:hAnsi="Verdana" w:eastAsia="Times New Roman" w:cs="Times New Roman"/>
                <w:color w:val="000000"/>
                <w:sz w:val="16"/>
                <w:szCs w:val="16"/>
                <w:lang w:eastAsia="ro-RO"/>
              </w:rPr>
              <w:t>Întocmește şi depune, trimestrial, la Institutul Național de Statistică, darea de seamă privind realizarea investițiilor întocmește statele de plată a salariilor şi a celorlalte drepturi de natura cheltuielilor salariale pentru personalul Direcției și pentru persoanelor din afara instituției, după caz</w:t>
            </w:r>
            <w:r>
              <w:rPr>
                <w:rFonts w:hint="default" w:ascii="Verdana" w:hAnsi="Verdana" w:eastAsia="Times New Roman" w:cs="Times New Roman"/>
                <w:color w:val="000000"/>
                <w:sz w:val="16"/>
                <w:szCs w:val="16"/>
                <w:lang w:val="ro-RO" w:eastAsia="ro-RO"/>
              </w:rPr>
              <w:t>;</w:t>
            </w:r>
          </w:p>
          <w:p w14:paraId="1E25FC38">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7.</w:t>
            </w:r>
            <w:r>
              <w:rPr>
                <w:rFonts w:ascii="Verdana" w:hAnsi="Verdana" w:eastAsia="Times New Roman" w:cs="Times New Roman"/>
                <w:color w:val="000000"/>
                <w:sz w:val="16"/>
                <w:szCs w:val="16"/>
                <w:lang w:eastAsia="ro-RO"/>
              </w:rPr>
              <w:t>întocmește și depune la Institutul Național de Statistică situațiile solicitate de acesta, conform legii</w:t>
            </w:r>
            <w:r>
              <w:rPr>
                <w:rFonts w:hint="default" w:ascii="Verdana" w:hAnsi="Verdana" w:eastAsia="Times New Roman" w:cs="Times New Roman"/>
                <w:color w:val="000000"/>
                <w:sz w:val="16"/>
                <w:szCs w:val="16"/>
                <w:lang w:val="ro-RO" w:eastAsia="ro-RO"/>
              </w:rPr>
              <w:t>;</w:t>
            </w:r>
          </w:p>
          <w:p w14:paraId="78917485">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8.</w:t>
            </w:r>
            <w:r>
              <w:rPr>
                <w:rFonts w:ascii="Verdana" w:hAnsi="Verdana" w:eastAsia="Times New Roman" w:cs="Times New Roman"/>
                <w:color w:val="000000"/>
                <w:sz w:val="16"/>
                <w:szCs w:val="16"/>
                <w:lang w:eastAsia="ro-RO"/>
              </w:rPr>
              <w:t>întocmește raportările lunare (monitorizare cheltuieli de personal, monitorizare cheltuieli de capital) pe care le supune aprobării conducătorului instituției, și răspunde de transmiterea acestora la compartimentul de specialitate din cadrul Ministerului Culturii, la termenele stabilite de acesta, astfel încât să fie respectate termenele legale stabilite de actele normative în vigoare</w:t>
            </w:r>
            <w:r>
              <w:rPr>
                <w:rFonts w:hint="default" w:ascii="Verdana" w:hAnsi="Verdana" w:eastAsia="Times New Roman" w:cs="Times New Roman"/>
                <w:color w:val="000000"/>
                <w:sz w:val="16"/>
                <w:szCs w:val="16"/>
                <w:lang w:val="ro-RO" w:eastAsia="ro-RO"/>
              </w:rPr>
              <w:t>;</w:t>
            </w:r>
          </w:p>
          <w:p w14:paraId="60116DEE">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9.</w:t>
            </w:r>
            <w:r>
              <w:rPr>
                <w:rFonts w:ascii="Verdana" w:hAnsi="Verdana" w:eastAsia="Times New Roman" w:cs="Times New Roman"/>
                <w:color w:val="000000"/>
                <w:sz w:val="16"/>
                <w:szCs w:val="16"/>
                <w:lang w:eastAsia="ro-RO"/>
              </w:rPr>
              <w:t>prezintă directorului executiv propuneri privind măsurile de optimizare a cheltuielilor Direcției</w:t>
            </w:r>
            <w:r>
              <w:rPr>
                <w:rFonts w:hint="default" w:ascii="Verdana" w:hAnsi="Verdana" w:eastAsia="Times New Roman" w:cs="Times New Roman"/>
                <w:color w:val="000000"/>
                <w:sz w:val="16"/>
                <w:szCs w:val="16"/>
                <w:lang w:val="ro-RO" w:eastAsia="ro-RO"/>
              </w:rPr>
              <w:t>;</w:t>
            </w:r>
          </w:p>
          <w:p w14:paraId="02A299E5">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10.</w:t>
            </w:r>
            <w:r>
              <w:rPr>
                <w:rFonts w:ascii="Verdana" w:hAnsi="Verdana" w:eastAsia="Times New Roman" w:cs="Times New Roman"/>
                <w:color w:val="000000"/>
                <w:sz w:val="16"/>
                <w:szCs w:val="16"/>
                <w:lang w:eastAsia="ro-RO"/>
              </w:rPr>
              <w:t>Elaborează analize/centralizări/evidențe în legătură cu obiectul de activitate</w:t>
            </w:r>
            <w:r>
              <w:rPr>
                <w:rFonts w:hint="default" w:ascii="Verdana" w:hAnsi="Verdana" w:eastAsia="Times New Roman" w:cs="Times New Roman"/>
                <w:color w:val="000000"/>
                <w:sz w:val="16"/>
                <w:szCs w:val="16"/>
                <w:lang w:val="ro-RO" w:eastAsia="ro-RO"/>
              </w:rPr>
              <w:t>;</w:t>
            </w:r>
          </w:p>
          <w:p w14:paraId="4905C061">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11.</w:t>
            </w:r>
            <w:r>
              <w:rPr>
                <w:rFonts w:ascii="Verdana" w:hAnsi="Verdana" w:eastAsia="Times New Roman" w:cs="Times New Roman"/>
                <w:color w:val="000000"/>
                <w:sz w:val="16"/>
                <w:szCs w:val="16"/>
                <w:lang w:eastAsia="ro-RO"/>
              </w:rPr>
              <w:t>Elaborează / actualizează procedurile operaționale, în cadrul sistemului de control intern managerial, pentru activitatea compartimentului din care face parte</w:t>
            </w:r>
            <w:r>
              <w:rPr>
                <w:rFonts w:hint="default" w:ascii="Verdana" w:hAnsi="Verdana" w:eastAsia="Times New Roman" w:cs="Times New Roman"/>
                <w:color w:val="000000"/>
                <w:sz w:val="16"/>
                <w:szCs w:val="16"/>
                <w:lang w:val="ro-RO" w:eastAsia="ro-RO"/>
              </w:rPr>
              <w:t>;</w:t>
            </w:r>
          </w:p>
          <w:p w14:paraId="06E7D009">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12.</w:t>
            </w:r>
            <w:r>
              <w:rPr>
                <w:rFonts w:ascii="Verdana" w:hAnsi="Verdana" w:eastAsia="Times New Roman" w:cs="Times New Roman"/>
                <w:color w:val="000000"/>
                <w:sz w:val="16"/>
                <w:szCs w:val="16"/>
                <w:lang w:eastAsia="ro-RO"/>
              </w:rPr>
              <w:t>Respectă obligațiile și responsabilitățile prevăzute în Legea nr. 319/2006 a securității și sănătății în muncă, cu modificările și completările ulterioare</w:t>
            </w:r>
            <w:r>
              <w:rPr>
                <w:rFonts w:hint="default" w:ascii="Verdana" w:hAnsi="Verdana" w:eastAsia="Times New Roman" w:cs="Times New Roman"/>
                <w:color w:val="000000"/>
                <w:sz w:val="16"/>
                <w:szCs w:val="16"/>
                <w:lang w:val="ro-RO" w:eastAsia="ro-RO"/>
              </w:rPr>
              <w:t>;</w:t>
            </w:r>
          </w:p>
          <w:p w14:paraId="690ECF1B">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13.</w:t>
            </w:r>
            <w:r>
              <w:rPr>
                <w:rFonts w:ascii="Verdana" w:hAnsi="Verdana" w:eastAsia="Times New Roman" w:cs="Times New Roman"/>
                <w:color w:val="000000"/>
                <w:sz w:val="16"/>
                <w:szCs w:val="16"/>
                <w:lang w:eastAsia="ro-RO"/>
              </w:rPr>
              <w:t>Respectă prevederile legale în domeniul apărării împotriva incendiilor (PSI) la nivelul Direcției, conform deciziei directorului executiv</w:t>
            </w:r>
            <w:r>
              <w:rPr>
                <w:rFonts w:hint="default" w:ascii="Verdana" w:hAnsi="Verdana" w:eastAsia="Times New Roman" w:cs="Times New Roman"/>
                <w:color w:val="000000"/>
                <w:sz w:val="16"/>
                <w:szCs w:val="16"/>
                <w:lang w:val="ro-RO" w:eastAsia="ro-RO"/>
              </w:rPr>
              <w:t>;</w:t>
            </w:r>
          </w:p>
          <w:p w14:paraId="0DFE6CBF">
            <w:pPr>
              <w:spacing w:after="0" w:line="240" w:lineRule="auto"/>
              <w:rPr>
                <w:rFonts w:hint="default" w:ascii="Verdana" w:hAnsi="Verdana" w:eastAsia="Times New Roman" w:cs="Times New Roman"/>
                <w:color w:val="000000"/>
                <w:sz w:val="16"/>
                <w:szCs w:val="16"/>
                <w:lang w:val="ro-RO" w:eastAsia="ro-RO"/>
              </w:rPr>
            </w:pPr>
            <w:r>
              <w:rPr>
                <w:rFonts w:hint="default" w:ascii="Verdana" w:hAnsi="Verdana" w:eastAsia="Times New Roman" w:cs="Times New Roman"/>
                <w:color w:val="000000"/>
                <w:sz w:val="16"/>
                <w:szCs w:val="16"/>
                <w:lang w:val="ro-RO" w:eastAsia="ro-RO"/>
              </w:rPr>
              <w:t>14.</w:t>
            </w:r>
            <w:r>
              <w:rPr>
                <w:rFonts w:ascii="Verdana" w:hAnsi="Verdana" w:eastAsia="Times New Roman" w:cs="Times New Roman"/>
                <w:color w:val="000000"/>
                <w:sz w:val="16"/>
                <w:szCs w:val="16"/>
                <w:lang w:eastAsia="ro-RO"/>
              </w:rPr>
              <w:t>Asigură arhivarea documentelor din cadrul compartimentului</w:t>
            </w:r>
            <w:r>
              <w:rPr>
                <w:rFonts w:hint="default" w:ascii="Verdana" w:hAnsi="Verdana" w:eastAsia="Times New Roman" w:cs="Times New Roman"/>
                <w:color w:val="000000"/>
                <w:sz w:val="16"/>
                <w:szCs w:val="16"/>
                <w:lang w:val="ro-RO" w:eastAsia="ro-RO"/>
              </w:rPr>
              <w:t>;</w:t>
            </w:r>
          </w:p>
          <w:p w14:paraId="2D45BAB0">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15. Întocmește Bugetul de venituri și cheltuieli din ambele surse;</w:t>
            </w:r>
          </w:p>
          <w:p w14:paraId="66F9A58C">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16. Întocmește lunar Balanța de verificare contabilă;</w:t>
            </w:r>
          </w:p>
          <w:p w14:paraId="3F66FE89">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17. Înregistrea cronologică, sistematică și prelucrarea informațiilor cu privire la situația patrimonială;</w:t>
            </w:r>
          </w:p>
          <w:p w14:paraId="42E11554">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Întocmirea actelor contabile și Registrelor contabile, conform prevederilor legale, după cum urmează:</w:t>
            </w:r>
          </w:p>
          <w:p w14:paraId="7B904031">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 xml:space="preserve">  - întocmirea și depunerea lunară a Declarațieicătre Ministerul Finanțelor până la data de 25 ale luni următoare;</w:t>
            </w:r>
          </w:p>
          <w:p w14:paraId="357BEADC">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 xml:space="preserve">  - depunerea dosarelor pentru încasarea indemnizației de concediu medical la CJAS Giurgiu pentru salariații aflați în concediu de boală;</w:t>
            </w:r>
          </w:p>
          <w:p w14:paraId="3EF2F618">
            <w:pPr>
              <w:spacing w:after="0" w:line="240" w:lineRule="auto"/>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 xml:space="preserve">   - înregistrarea extraselor de cont la banca unde instituția își are deschis contul, în evidența contabilă;</w:t>
            </w:r>
          </w:p>
          <w:p w14:paraId="4DA1853C">
            <w:pPr>
              <w:numPr>
                <w:ilvl w:val="0"/>
                <w:numId w:val="0"/>
              </w:numPr>
              <w:spacing w:after="0" w:line="240" w:lineRule="auto"/>
              <w:ind w:left="56" w:leftChars="0"/>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17. Necesar de credite MC / lunar;</w:t>
            </w:r>
          </w:p>
          <w:p w14:paraId="3C8D0486">
            <w:pPr>
              <w:numPr>
                <w:ilvl w:val="0"/>
                <w:numId w:val="1"/>
              </w:numPr>
              <w:spacing w:after="0" w:line="240" w:lineRule="auto"/>
              <w:ind w:left="56" w:leftChars="0" w:firstLine="0" w:firstLineChars="0"/>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Raportările lunare și trimestriale;</w:t>
            </w:r>
          </w:p>
          <w:p w14:paraId="22067D43">
            <w:pPr>
              <w:numPr>
                <w:ilvl w:val="0"/>
                <w:numId w:val="1"/>
              </w:numPr>
              <w:spacing w:after="0" w:line="240" w:lineRule="auto"/>
              <w:ind w:left="56" w:leftChars="0" w:firstLine="0" w:firstLineChars="0"/>
              <w:rPr>
                <w:rFonts w:hint="default" w:ascii="Verdana" w:hAnsi="Verdana" w:eastAsia="Times New Roman" w:cs="Times New Roman"/>
                <w:color w:val="000000"/>
                <w:sz w:val="16"/>
                <w:szCs w:val="16"/>
                <w:lang w:val="en-US" w:eastAsia="ro-RO"/>
              </w:rPr>
            </w:pPr>
            <w:r>
              <w:rPr>
                <w:rFonts w:hint="default" w:ascii="Verdana" w:hAnsi="Verdana" w:eastAsia="Times New Roman" w:cs="Times New Roman"/>
                <w:color w:val="000000"/>
                <w:sz w:val="16"/>
                <w:szCs w:val="16"/>
                <w:lang w:val="en-US" w:eastAsia="ro-RO"/>
              </w:rPr>
              <w:t>Întocmirea bilanțului contabil trimestrial și a Situațiilor finnciare.</w:t>
            </w:r>
          </w:p>
          <w:p w14:paraId="351DA89C">
            <w:pPr>
              <w:spacing w:after="0" w:line="240" w:lineRule="auto"/>
              <w:jc w:val="left"/>
              <w:rPr>
                <w:rFonts w:hint="default" w:cs="Arial"/>
                <w:color w:val="0070C0"/>
                <w:sz w:val="22"/>
                <w:szCs w:val="22"/>
                <w:lang w:val="ro-RO" w:eastAsia="ro-RO"/>
              </w:rPr>
            </w:pPr>
          </w:p>
          <w:p w14:paraId="600DDA30">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1</w:t>
            </w:r>
            <w:r>
              <w:rPr>
                <w:rFonts w:ascii="Verdana" w:hAnsi="Verdana" w:eastAsia="Times New Roman" w:cs="Times New Roman"/>
                <w:b/>
                <w:bCs/>
                <w:color w:val="000000"/>
                <w:sz w:val="16"/>
                <w:szCs w:val="16"/>
                <w:lang w:val="it-IT" w:eastAsia="ro-RO"/>
              </w:rPr>
              <w:t xml:space="preserve"> </w:t>
            </w:r>
            <w:r>
              <w:rPr>
                <w:rFonts w:ascii="Verdana" w:hAnsi="Verdana" w:eastAsia="Times New Roman" w:cs="Times New Roman"/>
                <w:b/>
                <w:bCs/>
                <w:color w:val="000000"/>
                <w:sz w:val="16"/>
                <w:szCs w:val="16"/>
                <w:lang w:eastAsia="ro-RO"/>
              </w:rPr>
              <w:t>.</w:t>
            </w:r>
            <w:r>
              <w:rPr>
                <w:rFonts w:ascii="Verdana" w:hAnsi="Verdana" w:eastAsia="Times New Roman" w:cs="Times New Roman"/>
                <w:color w:val="000000"/>
                <w:sz w:val="16"/>
                <w:szCs w:val="16"/>
                <w:lang w:eastAsia="ro-RO"/>
              </w:rPr>
              <w:t>întocmește propuneri privind realizarea de achiziții de bunuri si servicii sub directa îndrumare a funcţionarului public coordonator/îndrumător numit prin decizie administrativă: verifică referatele de necesitate primite de la compartimentele de specialitate și le centralizează, întocmește documentația necesară realizării achizițiilor publice;</w:t>
            </w:r>
          </w:p>
          <w:p w14:paraId="311C4512">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 întocmește note de fundamentare, materiale de sinteza si situații privind programul de investiții finanțat de la bugetul de stat sau de venituri extrabugetare după caz sub directa îndrumare a funcţionarului public coordonator/îndrumător numit prin decizie administrativă: întocmește note de fundamentare pentru programul de investiții finanțat de la bugetul de stat sau de venituri extrabugetare, întocmește materiale de sinteza si situații privind programul de investiții finanțat de la bugetul de stat sau de venituri extrabugetare;</w:t>
            </w:r>
          </w:p>
          <w:p w14:paraId="3D29DC69">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 propune spre aprobare componența comisiilor de evaluare oferte, negociere, achiziție directă, de rezolvarea contestațiilor, de recepție sub directa îndrumare a funcţionarului public coordonator/ îndrumător numit prin decizie administrativă:elaborează propunerea privind componența comisiilor de la nivelul instituției și o supune aprobării;</w:t>
            </w:r>
          </w:p>
          <w:p w14:paraId="5E6AC84D">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4. elaborează propuneri privind planul de achiziții, conform prevederilor legale in vigoare sub directa îndrumare a funcţionarului public coordonator/îndrumător numit prin decizie administrativă: centralizează referatele de necesitate și elaborează PAAP;</w:t>
            </w:r>
          </w:p>
          <w:p w14:paraId="228E16D5">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5. asigura formalitățile de derulare a procedurilor de achiziții publice: publicarea în SEAP a anunțurilor, primirea documentațiilor, comunicarea rezultatelor, gestionarea situațiilor legate de contestații, după caz, încheierea contractelor de achiziții publice sub directa îndrumare a funcţionarului public coordonator/ îndrumător numit prin decizie administrativă: intreprinde demersurile necesare pentru derularea procedurilor de achiziții publice;</w:t>
            </w:r>
          </w:p>
          <w:p w14:paraId="56F77CED">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6. urmărește realizarea contractelor de întreținere, curățenie, paza, salubritate si de furnizare de utilități sub directa îndrumare a funcţionarului public coordonator/ îndrumător numit prin decizie administrativă:</w:t>
            </w: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eastAsia="ro-RO"/>
              </w:rPr>
              <w:t xml:space="preserve">monitorizează realizarea contratelor de  întreținere, curățenie, paza, salubritate si de </w:t>
            </w:r>
          </w:p>
          <w:p w14:paraId="1B1B08C2">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furnizare de utilități;</w:t>
            </w:r>
          </w:p>
          <w:p w14:paraId="782DEC89">
            <w:pPr>
              <w:numPr>
                <w:ilvl w:val="0"/>
                <w:numId w:val="2"/>
              </w:numPr>
              <w:spacing w:after="0" w:line="240" w:lineRule="auto"/>
              <w:rPr>
                <w:rFonts w:ascii="Verdana" w:hAnsi="Verdana" w:eastAsia="Times New Roman" w:cs="Times New Roman"/>
                <w:color w:val="000000"/>
                <w:sz w:val="16"/>
                <w:szCs w:val="16"/>
                <w:lang w:val="it-IT" w:eastAsia="ro-RO"/>
              </w:rPr>
            </w:pPr>
            <w:r>
              <w:rPr>
                <w:rFonts w:ascii="Verdana" w:hAnsi="Verdana" w:eastAsia="Times New Roman" w:cs="Times New Roman"/>
                <w:color w:val="000000"/>
                <w:sz w:val="16"/>
                <w:szCs w:val="16"/>
                <w:lang w:eastAsia="ro-RO"/>
              </w:rPr>
              <w:t>a</w:t>
            </w:r>
            <w:r>
              <w:rPr>
                <w:rFonts w:ascii="Verdana" w:hAnsi="Verdana" w:eastAsia="Times New Roman" w:cs="Times New Roman"/>
                <w:color w:val="000000"/>
                <w:sz w:val="16"/>
                <w:szCs w:val="16"/>
                <w:lang w:val="it-IT" w:eastAsia="ro-RO"/>
              </w:rPr>
              <w:t>lte activitati la dispozitia conducatorului institutiei;</w:t>
            </w:r>
          </w:p>
          <w:p w14:paraId="3F55CB31">
            <w:pPr>
              <w:spacing w:after="0" w:line="240" w:lineRule="auto"/>
              <w:jc w:val="left"/>
              <w:rPr>
                <w:rFonts w:ascii="Verdana" w:hAnsi="Verdana" w:eastAsia="Times New Roman" w:cs="Times New Roman"/>
                <w:color w:val="000000"/>
                <w:sz w:val="16"/>
                <w:szCs w:val="16"/>
                <w:lang w:eastAsia="ro-RO"/>
              </w:rPr>
            </w:pPr>
          </w:p>
          <w:p w14:paraId="497B71CC">
            <w:r>
              <w:rPr>
                <w:b/>
              </w:rPr>
              <w:br w:type="textWrapping"/>
            </w:r>
            <w:r>
              <w:rPr>
                <w:b/>
              </w:rPr>
              <w:t>ATRIBUȚII SUPLIMENTARE – ACHIZIȚII PUBLICE</w:t>
            </w:r>
          </w:p>
          <w:p w14:paraId="1A85FD0C">
            <w:pPr>
              <w:spacing w:after="0" w:line="240" w:lineRule="auto"/>
              <w:rPr>
                <w:rFonts w:ascii="Verdana" w:hAnsi="Verdana" w:eastAsia="Times New Roman" w:cs="Times New Roman"/>
                <w:color w:val="000000"/>
                <w:sz w:val="16"/>
                <w:szCs w:val="16"/>
                <w:lang w:eastAsia="ro-RO"/>
              </w:rPr>
            </w:pPr>
            <w:r>
              <w:t xml:space="preserve">20. </w:t>
            </w:r>
            <w:r>
              <w:rPr>
                <w:rFonts w:ascii="Verdana" w:hAnsi="Verdana" w:eastAsia="Times New Roman" w:cs="Times New Roman"/>
                <w:color w:val="000000"/>
                <w:sz w:val="16"/>
                <w:szCs w:val="16"/>
                <w:lang w:eastAsia="ro-RO"/>
              </w:rPr>
              <w:t>Centralizează referatele de necesitate și propunerile de achiziții transmise de compartimentele de specialitate și pregătește documentele necesare fundamentării achizițiilor, sub coordonarea persoanei desemnate prin decizie administrativă.</w:t>
            </w:r>
          </w:p>
          <w:p w14:paraId="6BFBF1D7">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21. Participă la elaborarea și actualizarea Programului anual al achizițiilor publice și a documentelor aferente, pe baza necesităților comunicate de compartimente și a bugetului aprobat.</w:t>
            </w:r>
          </w:p>
          <w:p w14:paraId="349A5473">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22. Verifică existența și completitudinea documentelor necesare inițierii achizițiilor și solicită, după caz, completări de la compartimentele de specialitate.</w:t>
            </w:r>
          </w:p>
          <w:p w14:paraId="49FCBEE1">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23. Pregătește documentele necesare realizării achizițiilor directe și a procedurilor de atribuire, în limitele competențelor stabilite prin decizie.</w:t>
            </w:r>
          </w:p>
          <w:p w14:paraId="139BE76A">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24. Efectuează, în limitele competențelor delegate, operațiunile și înregistrările necesare în SEAP/SICAP pentru derularea achizițiilor publice.</w:t>
            </w:r>
          </w:p>
          <w:p w14:paraId="44DA9D48">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25. Întocmește proiecte de documente, comunicări, solicitări de clarificări și alte materiale necesare derulării achizițiilor publice, sub coordonarea persoanei desemnate.</w:t>
            </w:r>
          </w:p>
          <w:p w14:paraId="1338CFD8">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26. Sprijină constituirea și activitatea comisiilor de evaluare, negociere, recepție sau a altor comisii constituite pentru achiziții publice, prin pregătirea documentelor necesare.</w:t>
            </w:r>
          </w:p>
          <w:p w14:paraId="6ED13B7E">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27. Întocmește și gestionează, în limitele atribuțiilor, dosarul achiziției publice și asigură păstrarea și arhivarea documentelor aferente.</w:t>
            </w:r>
          </w:p>
          <w:p w14:paraId="654D7ECC">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28. Urmărește termenele și etapele procedurilor de achiziție și informează conducerea sau persoana desemnată cu privire la întârzieri, documente lipsă ori neconformități constatate.</w:t>
            </w:r>
          </w:p>
          <w:p w14:paraId="0EB7E5AA">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29. Sprijină elaborarea, verificarea și actualizarea documentelor aferente contractelor de achiziții publice și urmărește, din punct de vedere administrativ, derularea acestora.</w:t>
            </w:r>
          </w:p>
          <w:p w14:paraId="16A9B232">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30. Monitorizează, în limitele competențelor stabilite, contractele de furnizare, servicii și lucrări și întocmește situații privind stadiul și valabilitatea acestora.</w:t>
            </w:r>
          </w:p>
          <w:p w14:paraId="4624F30D">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31. Participă la întocmirea documentelor necesare recepției bunurilor, serviciilor și lucrărilor achiziționate și la transmiterea acestora către compartimentele competente.</w:t>
            </w:r>
          </w:p>
          <w:p w14:paraId="03B8775D">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32. Întocmește centralizări, evidențe și raportări privind achizițiile publice realizate, la solicitarea conducerii.</w:t>
            </w:r>
          </w:p>
          <w:p w14:paraId="6D156883">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33. Participă la elaborarea și actualizarea procedurilor operaționale privind activitatea de achiziții publice în cadrul sistemului de control intern managerial.</w:t>
            </w:r>
          </w:p>
          <w:p w14:paraId="73D98EFC">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34. Urmărește respectarea principiilor aplicabile achizițiilor publice și sesizează conducerii situațiile care pot afecta legalitatea, transparența sau încadrarea în buget a achiziției.</w:t>
            </w:r>
          </w:p>
          <w:p w14:paraId="37E8C4DF">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35. Colaborează cu compartimentele de specialitate pentru fundamentarea necesităților și pregătirea documentelor necesare achizițiilor.</w:t>
            </w:r>
          </w:p>
          <w:p w14:paraId="556B44BE">
            <w:pPr>
              <w:spacing w:after="0" w:line="240" w:lineRule="auto"/>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36. Asigură, în limitele competențelor delegate, comunicarea cu operatorii economici și cu autoritățile/instituțiile publice în legătură cu documentele și etapele achizițiilor.</w:t>
            </w:r>
          </w:p>
          <w:p w14:paraId="53ABD1FD">
            <w:pPr>
              <w:spacing w:after="0" w:line="240" w:lineRule="auto"/>
            </w:pPr>
            <w:r>
              <w:rPr>
                <w:rFonts w:ascii="Verdana" w:hAnsi="Verdana" w:eastAsia="Times New Roman" w:cs="Times New Roman"/>
                <w:color w:val="000000"/>
                <w:sz w:val="16"/>
                <w:szCs w:val="16"/>
                <w:lang w:eastAsia="ro-RO"/>
              </w:rPr>
              <w:t>37. Îndeplinește și alte atribuții în domeniul achizițiilor publice dispuse de conducătorul instituției, în limita competențelor postului și a actelor administrative de desemnare.</w:t>
            </w:r>
          </w:p>
        </w:tc>
      </w:tr>
      <w:tr w14:paraId="340E55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53E6E004">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Condiţii pentru ocuparea postului</w:t>
            </w:r>
          </w:p>
        </w:tc>
      </w:tr>
      <w:tr w14:paraId="21DE78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64E32095">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Nivelul studiilor</w:t>
            </w:r>
          </w:p>
        </w:tc>
        <w:tc>
          <w:tcPr>
            <w:tcW w:w="3100" w:type="pct"/>
            <w:gridSpan w:val="2"/>
            <w:tcBorders>
              <w:top w:val="outset" w:color="auto" w:sz="6" w:space="0"/>
              <w:left w:val="outset" w:color="auto" w:sz="6" w:space="0"/>
              <w:bottom w:val="outset" w:color="auto" w:sz="6" w:space="0"/>
              <w:right w:val="outset" w:color="auto" w:sz="6" w:space="0"/>
            </w:tcBorders>
          </w:tcPr>
          <w:p w14:paraId="779EF117">
            <w:pPr>
              <w:pStyle w:val="4"/>
              <w:tabs>
                <w:tab w:val="left" w:pos="432"/>
                <w:tab w:val="clear" w:pos="916"/>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studii universitare de licență absolvite cu diplomă, respectiv studii superioare de  lungă durată, absolvite cu diplomă de licență sau echivalentă; </w:t>
            </w:r>
          </w:p>
          <w:p w14:paraId="5822E00D">
            <w:pPr>
              <w:spacing w:after="0" w:line="240" w:lineRule="auto"/>
              <w:jc w:val="left"/>
              <w:rPr>
                <w:rFonts w:ascii="Verdana" w:hAnsi="Verdana" w:eastAsia="Times New Roman" w:cs="Times New Roman"/>
                <w:color w:val="000000"/>
                <w:sz w:val="16"/>
                <w:szCs w:val="16"/>
                <w:lang w:eastAsia="ro-RO"/>
              </w:rPr>
            </w:pPr>
          </w:p>
        </w:tc>
      </w:tr>
      <w:tr w14:paraId="50914B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187604F9">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Domeniul studiilor</w:t>
            </w:r>
            <w:r>
              <w:rPr>
                <w:rFonts w:ascii="Verdana" w:hAnsi="Verdana" w:eastAsia="Times New Roman" w:cs="Times New Roman"/>
                <w:color w:val="000000"/>
                <w:sz w:val="16"/>
                <w:szCs w:val="16"/>
                <w:vertAlign w:val="superscript"/>
                <w:lang w:eastAsia="ro-RO"/>
              </w:rPr>
              <w:t>5</w:t>
            </w:r>
          </w:p>
        </w:tc>
        <w:tc>
          <w:tcPr>
            <w:tcW w:w="3100" w:type="pct"/>
            <w:gridSpan w:val="2"/>
            <w:tcBorders>
              <w:top w:val="outset" w:color="auto" w:sz="6" w:space="0"/>
              <w:left w:val="outset" w:color="auto" w:sz="6" w:space="0"/>
              <w:bottom w:val="outset" w:color="auto" w:sz="6" w:space="0"/>
              <w:right w:val="outset" w:color="auto" w:sz="6" w:space="0"/>
            </w:tcBorders>
          </w:tcPr>
          <w:p w14:paraId="715F40AC">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eastAsia="ro-RO"/>
              </w:rPr>
              <w:t>domeniul de licență: știinte economice.</w:t>
            </w:r>
          </w:p>
        </w:tc>
      </w:tr>
      <w:tr w14:paraId="06E5C5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54BEB00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Perfecţionări/specializări</w:t>
            </w:r>
            <w:r>
              <w:rPr>
                <w:rFonts w:ascii="Verdana" w:hAnsi="Verdana" w:eastAsia="Times New Roman" w:cs="Times New Roman"/>
                <w:color w:val="000000"/>
                <w:sz w:val="16"/>
                <w:szCs w:val="16"/>
                <w:vertAlign w:val="superscript"/>
                <w:lang w:eastAsia="ro-RO"/>
              </w:rPr>
              <w:t>6</w:t>
            </w:r>
          </w:p>
        </w:tc>
        <w:tc>
          <w:tcPr>
            <w:tcW w:w="3100" w:type="pct"/>
            <w:gridSpan w:val="2"/>
            <w:tcBorders>
              <w:top w:val="outset" w:color="auto" w:sz="6" w:space="0"/>
              <w:left w:val="outset" w:color="auto" w:sz="6" w:space="0"/>
              <w:bottom w:val="outset" w:color="auto" w:sz="6" w:space="0"/>
              <w:right w:val="outset" w:color="auto" w:sz="6" w:space="0"/>
            </w:tcBorders>
          </w:tcPr>
          <w:p w14:paraId="4CE418E4">
            <w:r>
              <w:t>-</w:t>
            </w:r>
            <w:r>
              <w:rPr>
                <w:rFonts w:ascii="Verdana" w:hAnsi="Verdana" w:eastAsia="Times New Roman" w:cs="Times New Roman"/>
                <w:color w:val="000000"/>
                <w:sz w:val="16"/>
                <w:szCs w:val="16"/>
                <w:lang w:val="ro-RO" w:eastAsia="ro-RO" w:bidi="ar-SA"/>
              </w:rPr>
              <w:t xml:space="preserve"> curs/perfecționare în domeniul achizițiilor publice;</w:t>
            </w:r>
            <w:r>
              <w:rPr>
                <w:rFonts w:ascii="Verdana" w:hAnsi="Verdana" w:eastAsia="Times New Roman" w:cs="Times New Roman"/>
                <w:color w:val="000000"/>
                <w:sz w:val="16"/>
                <w:szCs w:val="16"/>
                <w:lang w:val="ro-RO" w:eastAsia="ro-RO" w:bidi="ar-SA"/>
              </w:rPr>
              <w:br w:type="textWrapping"/>
            </w:r>
            <w:r>
              <w:rPr>
                <w:rFonts w:ascii="Verdana" w:hAnsi="Verdana" w:eastAsia="Times New Roman" w:cs="Times New Roman"/>
                <w:color w:val="000000"/>
                <w:sz w:val="16"/>
                <w:szCs w:val="16"/>
                <w:lang w:val="ro-RO" w:eastAsia="ro-RO" w:bidi="ar-SA"/>
              </w:rPr>
              <w:t>- perfecționări în domeniul financiar-contabil și bugetar, după caz.</w:t>
            </w:r>
          </w:p>
        </w:tc>
      </w:tr>
      <w:tr w14:paraId="6C712C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1F1012B2">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Cunoştinţe de operare/programare pe calculator</w:t>
            </w:r>
            <w:r>
              <w:rPr>
                <w:rFonts w:ascii="Verdana" w:hAnsi="Verdana" w:eastAsia="Times New Roman" w:cs="Times New Roman"/>
                <w:color w:val="000000"/>
                <w:sz w:val="16"/>
                <w:szCs w:val="16"/>
                <w:vertAlign w:val="superscript"/>
                <w:lang w:eastAsia="ro-RO"/>
              </w:rPr>
              <w:t>7</w:t>
            </w:r>
          </w:p>
        </w:tc>
        <w:tc>
          <w:tcPr>
            <w:tcW w:w="3100" w:type="pct"/>
            <w:gridSpan w:val="2"/>
            <w:tcBorders>
              <w:top w:val="outset" w:color="auto" w:sz="6" w:space="0"/>
              <w:left w:val="outset" w:color="auto" w:sz="6" w:space="0"/>
              <w:bottom w:val="outset" w:color="auto" w:sz="6" w:space="0"/>
              <w:right w:val="outset" w:color="auto" w:sz="6" w:space="0"/>
            </w:tcBorders>
          </w:tcPr>
          <w:p w14:paraId="7CB2A429">
            <w:pPr>
              <w:pStyle w:val="4"/>
              <w:tabs>
                <w:tab w:val="left" w:pos="432"/>
                <w:tab w:val="clear" w:pos="916"/>
              </w:tabs>
              <w:rPr>
                <w:rFonts w:hint="default"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eastAsia="ro-RO"/>
              </w:rPr>
              <w:t xml:space="preserve">Microsoft office </w:t>
            </w:r>
            <w:r>
              <w:rPr>
                <w:rFonts w:ascii="Verdana" w:hAnsi="Verdana" w:eastAsia="Times New Roman" w:cs="Times New Roman"/>
                <w:color w:val="000000"/>
                <w:sz w:val="16"/>
                <w:szCs w:val="16"/>
                <w:lang w:val="it-IT" w:eastAsia="ro-RO"/>
              </w:rPr>
              <w:t xml:space="preserve">- nivel </w:t>
            </w:r>
            <w:r>
              <w:rPr>
                <w:rFonts w:hint="default" w:ascii="Verdana" w:hAnsi="Verdana" w:eastAsia="Times New Roman" w:cs="Times New Roman"/>
                <w:color w:val="000000"/>
                <w:sz w:val="16"/>
                <w:szCs w:val="16"/>
                <w:lang w:val="en-US" w:eastAsia="ro-RO"/>
              </w:rPr>
              <w:t>mediu</w:t>
            </w:r>
          </w:p>
        </w:tc>
      </w:tr>
      <w:tr w14:paraId="1BCA4AC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76978D88">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Cunoaşterea limbii Engleze/Franceze</w:t>
            </w:r>
            <w:r>
              <w:rPr>
                <w:rFonts w:ascii="Verdana" w:hAnsi="Verdana" w:eastAsia="Times New Roman" w:cs="Times New Roman"/>
                <w:color w:val="000000"/>
                <w:sz w:val="16"/>
                <w:szCs w:val="16"/>
                <w:vertAlign w:val="superscript"/>
                <w:lang w:eastAsia="ro-RO"/>
              </w:rPr>
              <w:t>8</w:t>
            </w:r>
          </w:p>
        </w:tc>
        <w:tc>
          <w:tcPr>
            <w:tcW w:w="3100" w:type="pct"/>
            <w:gridSpan w:val="2"/>
            <w:tcBorders>
              <w:top w:val="outset" w:color="auto" w:sz="6" w:space="0"/>
              <w:left w:val="outset" w:color="auto" w:sz="6" w:space="0"/>
              <w:bottom w:val="outset" w:color="auto" w:sz="6" w:space="0"/>
              <w:right w:val="outset" w:color="auto" w:sz="6" w:space="0"/>
            </w:tcBorders>
          </w:tcPr>
          <w:p w14:paraId="634AF01B">
            <w:pPr>
              <w:spacing w:after="0" w:line="240" w:lineRule="auto"/>
              <w:ind w:firstLine="80" w:firstLineChars="50"/>
              <w:jc w:val="left"/>
              <w:rPr>
                <w:rFonts w:ascii="Verdana" w:hAnsi="Verdana" w:eastAsia="Times New Roman" w:cs="Times New Roman"/>
                <w:color w:val="auto"/>
                <w:sz w:val="16"/>
                <w:szCs w:val="16"/>
                <w:lang w:eastAsia="ro-RO"/>
              </w:rPr>
            </w:pPr>
            <w:r>
              <w:rPr>
                <w:rFonts w:ascii="Verdana" w:hAnsi="Verdana" w:eastAsia="Times New Roman" w:cs="Times New Roman"/>
                <w:color w:val="000000"/>
                <w:sz w:val="16"/>
                <w:szCs w:val="16"/>
                <w:lang w:eastAsia="ro-RO"/>
              </w:rPr>
              <w:t xml:space="preserve">nivel mediu – </w:t>
            </w:r>
            <w:r>
              <w:rPr>
                <w:rFonts w:ascii="Verdana" w:hAnsi="Verdana" w:eastAsia="Times New Roman" w:cs="Times New Roman"/>
                <w:color w:val="auto"/>
                <w:sz w:val="16"/>
                <w:szCs w:val="16"/>
                <w:lang w:eastAsia="ro-RO"/>
              </w:rPr>
              <w:t>certificat competențe lingvistice nivel A2</w:t>
            </w:r>
          </w:p>
          <w:p w14:paraId="35769CDB">
            <w:pPr>
              <w:spacing w:after="0" w:line="240" w:lineRule="auto"/>
              <w:ind w:firstLine="80" w:firstLineChars="50"/>
              <w:jc w:val="left"/>
              <w:rPr>
                <w:rFonts w:ascii="Verdana" w:hAnsi="Verdana" w:eastAsia="Times New Roman" w:cs="Times New Roman"/>
                <w:color w:val="000000"/>
                <w:sz w:val="16"/>
                <w:szCs w:val="16"/>
                <w:lang w:eastAsia="ro-RO"/>
              </w:rPr>
            </w:pPr>
          </w:p>
        </w:tc>
      </w:tr>
      <w:tr w14:paraId="20E6D8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30F6578A">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necesare exercitării funcţiei publice</w:t>
            </w:r>
          </w:p>
        </w:tc>
      </w:tr>
      <w:tr w14:paraId="6E6F2DF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restart"/>
            <w:tcBorders>
              <w:top w:val="outset" w:color="auto" w:sz="6" w:space="0"/>
              <w:left w:val="outset" w:color="auto" w:sz="6" w:space="0"/>
              <w:bottom w:val="outset" w:color="auto" w:sz="6" w:space="0"/>
              <w:right w:val="outset" w:color="auto" w:sz="6" w:space="0"/>
            </w:tcBorders>
            <w:vAlign w:val="center"/>
          </w:tcPr>
          <w:p w14:paraId="26CE0627">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generale</w:t>
            </w:r>
            <w:r>
              <w:rPr>
                <w:rFonts w:ascii="Verdana" w:hAnsi="Verdana" w:eastAsia="Times New Roman" w:cs="Times New Roman"/>
                <w:color w:val="000000"/>
                <w:sz w:val="16"/>
                <w:szCs w:val="16"/>
                <w:vertAlign w:val="superscript"/>
                <w:lang w:eastAsia="ro-RO"/>
              </w:rPr>
              <w:t>9</w:t>
            </w:r>
          </w:p>
        </w:tc>
        <w:tc>
          <w:tcPr>
            <w:tcW w:w="1549" w:type="pct"/>
            <w:tcBorders>
              <w:top w:val="outset" w:color="auto" w:sz="6" w:space="0"/>
              <w:left w:val="outset" w:color="auto" w:sz="6" w:space="0"/>
              <w:bottom w:val="outset" w:color="auto" w:sz="6" w:space="0"/>
              <w:right w:val="outset" w:color="auto" w:sz="6" w:space="0"/>
            </w:tcBorders>
            <w:vAlign w:val="center"/>
          </w:tcPr>
          <w:p w14:paraId="44FBA052">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Denumirea competenţei generale</w:t>
            </w:r>
          </w:p>
        </w:tc>
        <w:tc>
          <w:tcPr>
            <w:tcW w:w="1551" w:type="pct"/>
            <w:tcBorders>
              <w:top w:val="outset" w:color="auto" w:sz="6" w:space="0"/>
              <w:left w:val="outset" w:color="auto" w:sz="6" w:space="0"/>
              <w:bottom w:val="outset" w:color="auto" w:sz="6" w:space="0"/>
              <w:right w:val="outset" w:color="auto" w:sz="6" w:space="0"/>
            </w:tcBorders>
            <w:vAlign w:val="center"/>
          </w:tcPr>
          <w:p w14:paraId="03B37E4C">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Nivelul de complexitate</w:t>
            </w:r>
          </w:p>
        </w:tc>
      </w:tr>
      <w:tr w14:paraId="6EDA81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4957E305">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26DDAA17">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1. Rezolvarea de probleme şi luarea deciziilor</w:t>
            </w:r>
          </w:p>
        </w:tc>
        <w:tc>
          <w:tcPr>
            <w:tcW w:w="1551" w:type="pct"/>
            <w:tcBorders>
              <w:top w:val="outset" w:color="auto" w:sz="6" w:space="0"/>
              <w:left w:val="outset" w:color="auto" w:sz="6" w:space="0"/>
              <w:bottom w:val="outset" w:color="auto" w:sz="6" w:space="0"/>
              <w:right w:val="outset" w:color="auto" w:sz="6" w:space="0"/>
            </w:tcBorders>
          </w:tcPr>
          <w:p w14:paraId="71023080">
            <w:pPr>
              <w:spacing w:after="0" w:line="240" w:lineRule="auto"/>
              <w:jc w:val="left"/>
              <w:rPr>
                <w:rFonts w:hint="default"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35F84C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49B8A86D">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06875B9C">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2. Iniţiativă</w:t>
            </w:r>
          </w:p>
        </w:tc>
        <w:tc>
          <w:tcPr>
            <w:tcW w:w="1551" w:type="pct"/>
            <w:tcBorders>
              <w:top w:val="outset" w:color="auto" w:sz="6" w:space="0"/>
              <w:left w:val="outset" w:color="auto" w:sz="6" w:space="0"/>
              <w:bottom w:val="outset" w:color="auto" w:sz="6" w:space="0"/>
              <w:right w:val="outset" w:color="auto" w:sz="6" w:space="0"/>
            </w:tcBorders>
          </w:tcPr>
          <w:p w14:paraId="772431CF">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 xml:space="preserve"> - nivel </w:t>
            </w:r>
            <w:r>
              <w:rPr>
                <w:rFonts w:hint="default" w:ascii="Verdana" w:hAnsi="Verdana" w:eastAsia="Times New Roman" w:cs="Times New Roman"/>
                <w:color w:val="000000"/>
                <w:sz w:val="16"/>
                <w:szCs w:val="16"/>
                <w:lang w:val="en-US" w:eastAsia="ro-RO"/>
              </w:rPr>
              <w:t>operational</w:t>
            </w:r>
          </w:p>
        </w:tc>
      </w:tr>
      <w:tr w14:paraId="4D5193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3ADCE906">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3B6E0BBA">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3. Planificare şi organizare</w:t>
            </w:r>
          </w:p>
        </w:tc>
        <w:tc>
          <w:tcPr>
            <w:tcW w:w="1551" w:type="pct"/>
            <w:tcBorders>
              <w:top w:val="outset" w:color="auto" w:sz="6" w:space="0"/>
              <w:left w:val="outset" w:color="auto" w:sz="6" w:space="0"/>
              <w:bottom w:val="outset" w:color="auto" w:sz="6" w:space="0"/>
              <w:right w:val="outset" w:color="auto" w:sz="6" w:space="0"/>
            </w:tcBorders>
            <w:vAlign w:val="top"/>
          </w:tcPr>
          <w:p w14:paraId="23AF5C7D">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114D9F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358F5DAB">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6FD1C0D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4. Comunicare</w:t>
            </w:r>
          </w:p>
        </w:tc>
        <w:tc>
          <w:tcPr>
            <w:tcW w:w="1551" w:type="pct"/>
            <w:tcBorders>
              <w:top w:val="outset" w:color="auto" w:sz="6" w:space="0"/>
              <w:left w:val="outset" w:color="auto" w:sz="6" w:space="0"/>
              <w:bottom w:val="outset" w:color="auto" w:sz="6" w:space="0"/>
              <w:right w:val="outset" w:color="auto" w:sz="6" w:space="0"/>
            </w:tcBorders>
            <w:vAlign w:val="top"/>
          </w:tcPr>
          <w:p w14:paraId="2E3556CA">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 xml:space="preserve"> - nivel </w:t>
            </w:r>
            <w:r>
              <w:rPr>
                <w:rFonts w:hint="default" w:ascii="Verdana" w:hAnsi="Verdana" w:eastAsia="Times New Roman" w:cs="Times New Roman"/>
                <w:color w:val="000000"/>
                <w:sz w:val="16"/>
                <w:szCs w:val="16"/>
                <w:lang w:val="en-US" w:eastAsia="ro-RO"/>
              </w:rPr>
              <w:t>operational</w:t>
            </w:r>
          </w:p>
        </w:tc>
      </w:tr>
      <w:tr w14:paraId="13B043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7A246900">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564AAF65">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5. Lucru în echipă</w:t>
            </w:r>
          </w:p>
        </w:tc>
        <w:tc>
          <w:tcPr>
            <w:tcW w:w="1551" w:type="pct"/>
            <w:tcBorders>
              <w:top w:val="outset" w:color="auto" w:sz="6" w:space="0"/>
              <w:left w:val="outset" w:color="auto" w:sz="6" w:space="0"/>
              <w:bottom w:val="outset" w:color="auto" w:sz="6" w:space="0"/>
              <w:right w:val="outset" w:color="auto" w:sz="6" w:space="0"/>
            </w:tcBorders>
            <w:vAlign w:val="top"/>
          </w:tcPr>
          <w:p w14:paraId="0F74E494">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08700C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1BB0C01B">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3070EF87">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6. Orientare către cetăţean</w:t>
            </w:r>
          </w:p>
        </w:tc>
        <w:tc>
          <w:tcPr>
            <w:tcW w:w="1551" w:type="pct"/>
            <w:tcBorders>
              <w:top w:val="outset" w:color="auto" w:sz="6" w:space="0"/>
              <w:left w:val="outset" w:color="auto" w:sz="6" w:space="0"/>
              <w:bottom w:val="outset" w:color="auto" w:sz="6" w:space="0"/>
              <w:right w:val="outset" w:color="auto" w:sz="6" w:space="0"/>
            </w:tcBorders>
            <w:vAlign w:val="top"/>
          </w:tcPr>
          <w:p w14:paraId="02754D77">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 xml:space="preserve"> - nivel </w:t>
            </w:r>
            <w:r>
              <w:rPr>
                <w:rFonts w:hint="default" w:ascii="Verdana" w:hAnsi="Verdana" w:eastAsia="Times New Roman" w:cs="Times New Roman"/>
                <w:color w:val="000000"/>
                <w:sz w:val="16"/>
                <w:szCs w:val="16"/>
                <w:lang w:val="en-US" w:eastAsia="ro-RO"/>
              </w:rPr>
              <w:t>operational</w:t>
            </w:r>
          </w:p>
        </w:tc>
      </w:tr>
      <w:tr w14:paraId="51CE51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3C563910">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5FB0DAC1">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7. Integritate</w:t>
            </w:r>
          </w:p>
        </w:tc>
        <w:tc>
          <w:tcPr>
            <w:tcW w:w="1551" w:type="pct"/>
            <w:tcBorders>
              <w:top w:val="outset" w:color="auto" w:sz="6" w:space="0"/>
              <w:left w:val="outset" w:color="auto" w:sz="6" w:space="0"/>
              <w:bottom w:val="outset" w:color="auto" w:sz="6" w:space="0"/>
              <w:right w:val="outset" w:color="auto" w:sz="6" w:space="0"/>
            </w:tcBorders>
            <w:vAlign w:val="top"/>
          </w:tcPr>
          <w:p w14:paraId="71BAC9F1">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53C8D4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259E1EF3">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3E7B2A7E">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8. Managementul performanţei</w:t>
            </w:r>
          </w:p>
        </w:tc>
        <w:tc>
          <w:tcPr>
            <w:tcW w:w="1551" w:type="pct"/>
            <w:tcBorders>
              <w:top w:val="outset" w:color="auto" w:sz="6" w:space="0"/>
              <w:left w:val="outset" w:color="auto" w:sz="6" w:space="0"/>
              <w:bottom w:val="outset" w:color="auto" w:sz="6" w:space="0"/>
              <w:right w:val="outset" w:color="auto" w:sz="6" w:space="0"/>
            </w:tcBorders>
            <w:vAlign w:val="top"/>
          </w:tcPr>
          <w:p w14:paraId="5274C848">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en-US" w:eastAsia="ro-RO"/>
              </w:rPr>
              <w:t xml:space="preserve"> - nivel </w:t>
            </w:r>
            <w:r>
              <w:rPr>
                <w:rFonts w:hint="default" w:ascii="Verdana" w:hAnsi="Verdana" w:eastAsia="Times New Roman" w:cs="Times New Roman"/>
                <w:color w:val="000000"/>
                <w:sz w:val="16"/>
                <w:szCs w:val="16"/>
                <w:lang w:val="en-US" w:eastAsia="ro-RO"/>
              </w:rPr>
              <w:t>operational</w:t>
            </w:r>
          </w:p>
        </w:tc>
      </w:tr>
      <w:tr w14:paraId="4D838D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5CD08C5F">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20A62E8A">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9. Dezvoltarea echipei</w:t>
            </w:r>
          </w:p>
        </w:tc>
        <w:tc>
          <w:tcPr>
            <w:tcW w:w="1551" w:type="pct"/>
            <w:tcBorders>
              <w:top w:val="outset" w:color="auto" w:sz="6" w:space="0"/>
              <w:left w:val="outset" w:color="auto" w:sz="6" w:space="0"/>
              <w:bottom w:val="outset" w:color="auto" w:sz="6" w:space="0"/>
              <w:right w:val="outset" w:color="auto" w:sz="6" w:space="0"/>
            </w:tcBorders>
            <w:vAlign w:val="top"/>
          </w:tcPr>
          <w:p w14:paraId="72B337A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7F85B8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289291FD">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0DAB2D37">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10. Generarea angajamentului</w:t>
            </w:r>
          </w:p>
        </w:tc>
        <w:tc>
          <w:tcPr>
            <w:tcW w:w="1551" w:type="pct"/>
            <w:tcBorders>
              <w:top w:val="outset" w:color="auto" w:sz="6" w:space="0"/>
              <w:left w:val="outset" w:color="auto" w:sz="6" w:space="0"/>
              <w:bottom w:val="outset" w:color="auto" w:sz="6" w:space="0"/>
              <w:right w:val="outset" w:color="auto" w:sz="6" w:space="0"/>
            </w:tcBorders>
            <w:vAlign w:val="top"/>
          </w:tcPr>
          <w:p w14:paraId="44534231">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en-US" w:eastAsia="ro-RO"/>
              </w:rPr>
              <w:t xml:space="preserve"> - nivel </w:t>
            </w:r>
            <w:r>
              <w:rPr>
                <w:rFonts w:hint="default" w:ascii="Verdana" w:hAnsi="Verdana" w:eastAsia="Times New Roman" w:cs="Times New Roman"/>
                <w:color w:val="000000"/>
                <w:sz w:val="16"/>
                <w:szCs w:val="16"/>
                <w:lang w:val="en-US" w:eastAsia="ro-RO"/>
              </w:rPr>
              <w:t>operational</w:t>
            </w:r>
          </w:p>
        </w:tc>
      </w:tr>
      <w:tr w14:paraId="58AD8F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0440BDBA">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5E2BA9A8">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11. Promovarea inovaţiei şi iniţierea schimbării</w:t>
            </w:r>
          </w:p>
        </w:tc>
        <w:tc>
          <w:tcPr>
            <w:tcW w:w="1551" w:type="pct"/>
            <w:tcBorders>
              <w:top w:val="outset" w:color="auto" w:sz="6" w:space="0"/>
              <w:left w:val="outset" w:color="auto" w:sz="6" w:space="0"/>
              <w:bottom w:val="outset" w:color="auto" w:sz="6" w:space="0"/>
              <w:right w:val="outset" w:color="auto" w:sz="6" w:space="0"/>
            </w:tcBorders>
            <w:vAlign w:val="top"/>
          </w:tcPr>
          <w:p w14:paraId="7FE11433">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it-IT" w:eastAsia="ro-RO"/>
              </w:rPr>
              <w:t xml:space="preserve"> </w:t>
            </w:r>
            <w:r>
              <w:rPr>
                <w:rFonts w:ascii="Verdana" w:hAnsi="Verdana" w:eastAsia="Times New Roman" w:cs="Times New Roman"/>
                <w:color w:val="000000"/>
                <w:sz w:val="16"/>
                <w:szCs w:val="16"/>
                <w:lang w:val="en-US" w:eastAsia="ro-RO"/>
              </w:rPr>
              <w:t xml:space="preserve">- nivel </w:t>
            </w:r>
            <w:r>
              <w:rPr>
                <w:rFonts w:hint="default" w:ascii="Verdana" w:hAnsi="Verdana" w:eastAsia="Times New Roman" w:cs="Times New Roman"/>
                <w:color w:val="000000"/>
                <w:sz w:val="16"/>
                <w:szCs w:val="16"/>
                <w:lang w:val="en-US" w:eastAsia="ro-RO"/>
              </w:rPr>
              <w:t>operational</w:t>
            </w:r>
          </w:p>
        </w:tc>
      </w:tr>
      <w:tr w14:paraId="2DB211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restart"/>
            <w:tcBorders>
              <w:top w:val="outset" w:color="auto" w:sz="6" w:space="0"/>
              <w:left w:val="outset" w:color="auto" w:sz="6" w:space="0"/>
              <w:bottom w:val="outset" w:color="auto" w:sz="6" w:space="0"/>
              <w:right w:val="outset" w:color="auto" w:sz="6" w:space="0"/>
            </w:tcBorders>
            <w:vAlign w:val="center"/>
          </w:tcPr>
          <w:p w14:paraId="32A91FF9">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specifice</w:t>
            </w:r>
          </w:p>
        </w:tc>
        <w:tc>
          <w:tcPr>
            <w:tcW w:w="1549" w:type="pct"/>
            <w:tcBorders>
              <w:top w:val="outset" w:color="auto" w:sz="6" w:space="0"/>
              <w:left w:val="outset" w:color="auto" w:sz="6" w:space="0"/>
              <w:bottom w:val="outset" w:color="auto" w:sz="6" w:space="0"/>
              <w:right w:val="outset" w:color="auto" w:sz="6" w:space="0"/>
            </w:tcBorders>
          </w:tcPr>
          <w:p w14:paraId="338416A1">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lingvistice de comunicare în limbi străine</w:t>
            </w:r>
            <w:r>
              <w:rPr>
                <w:rFonts w:ascii="Verdana" w:hAnsi="Verdana" w:eastAsia="Times New Roman" w:cs="Times New Roman"/>
                <w:color w:val="000000"/>
                <w:sz w:val="16"/>
                <w:szCs w:val="16"/>
                <w:vertAlign w:val="superscript"/>
                <w:lang w:eastAsia="ro-RO"/>
              </w:rPr>
              <w:t>10</w:t>
            </w:r>
          </w:p>
        </w:tc>
        <w:tc>
          <w:tcPr>
            <w:tcW w:w="1551" w:type="pct"/>
            <w:tcBorders>
              <w:top w:val="outset" w:color="auto" w:sz="6" w:space="0"/>
              <w:left w:val="outset" w:color="auto" w:sz="6" w:space="0"/>
              <w:bottom w:val="outset" w:color="auto" w:sz="6" w:space="0"/>
              <w:right w:val="outset" w:color="auto" w:sz="6" w:space="0"/>
            </w:tcBorders>
          </w:tcPr>
          <w:p w14:paraId="6E02F494">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 xml:space="preserve">- nivel </w:t>
            </w:r>
            <w:r>
              <w:rPr>
                <w:rFonts w:ascii="Verdana" w:hAnsi="Verdana" w:eastAsia="Times New Roman" w:cs="Times New Roman"/>
                <w:color w:val="auto"/>
                <w:sz w:val="16"/>
                <w:szCs w:val="16"/>
                <w:lang w:val="en-US" w:eastAsia="ro-RO"/>
              </w:rPr>
              <w:t>mediu</w:t>
            </w:r>
          </w:p>
        </w:tc>
      </w:tr>
      <w:tr w14:paraId="01ED08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64667230">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20578487">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lingvistice de comunicare în limba minorităţii naţionale</w:t>
            </w:r>
            <w:r>
              <w:rPr>
                <w:rFonts w:ascii="Verdana" w:hAnsi="Verdana" w:eastAsia="Times New Roman" w:cs="Times New Roman"/>
                <w:color w:val="000000"/>
                <w:sz w:val="16"/>
                <w:szCs w:val="16"/>
                <w:vertAlign w:val="superscript"/>
                <w:lang w:eastAsia="ro-RO"/>
              </w:rPr>
              <w:t>11</w:t>
            </w:r>
          </w:p>
        </w:tc>
        <w:tc>
          <w:tcPr>
            <w:tcW w:w="1551" w:type="pct"/>
            <w:tcBorders>
              <w:top w:val="outset" w:color="auto" w:sz="6" w:space="0"/>
              <w:left w:val="outset" w:color="auto" w:sz="6" w:space="0"/>
              <w:bottom w:val="outset" w:color="auto" w:sz="6" w:space="0"/>
              <w:right w:val="outset" w:color="auto" w:sz="6" w:space="0"/>
            </w:tcBorders>
          </w:tcPr>
          <w:p w14:paraId="7187B5AB">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w:t>
            </w:r>
          </w:p>
        </w:tc>
      </w:tr>
      <w:tr w14:paraId="42156D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1C08F6D6">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66A8D341">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Competenţe în domeniul tehnologiei informaţiei</w:t>
            </w:r>
            <w:r>
              <w:rPr>
                <w:rFonts w:ascii="Verdana" w:hAnsi="Verdana" w:eastAsia="Times New Roman" w:cs="Times New Roman"/>
                <w:color w:val="000000"/>
                <w:sz w:val="16"/>
                <w:szCs w:val="16"/>
                <w:vertAlign w:val="superscript"/>
                <w:lang w:eastAsia="ro-RO"/>
              </w:rPr>
              <w:t>12</w:t>
            </w:r>
          </w:p>
        </w:tc>
        <w:tc>
          <w:tcPr>
            <w:tcW w:w="1551" w:type="pct"/>
            <w:tcBorders>
              <w:top w:val="outset" w:color="auto" w:sz="6" w:space="0"/>
              <w:left w:val="outset" w:color="auto" w:sz="6" w:space="0"/>
              <w:bottom w:val="outset" w:color="auto" w:sz="6" w:space="0"/>
              <w:right w:val="outset" w:color="auto" w:sz="6" w:space="0"/>
            </w:tcBorders>
            <w:vAlign w:val="top"/>
          </w:tcPr>
          <w:p w14:paraId="7816A7B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nivel operațional – Microsoft Office și utilizarea aplicațiilor informatice specifice activității, inclusiv SEAP/SICAP, în limitele competențelor delegate.</w:t>
            </w:r>
          </w:p>
        </w:tc>
      </w:tr>
      <w:tr w14:paraId="248E32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vMerge w:val="continue"/>
            <w:tcBorders>
              <w:top w:val="outset" w:color="auto" w:sz="6" w:space="0"/>
              <w:left w:val="outset" w:color="auto" w:sz="6" w:space="0"/>
              <w:bottom w:val="outset" w:color="auto" w:sz="6" w:space="0"/>
              <w:right w:val="outset" w:color="auto" w:sz="6" w:space="0"/>
            </w:tcBorders>
            <w:vAlign w:val="center"/>
          </w:tcPr>
          <w:p w14:paraId="5FD4718A">
            <w:pPr>
              <w:spacing w:after="0" w:line="240" w:lineRule="auto"/>
              <w:jc w:val="left"/>
              <w:rPr>
                <w:rFonts w:ascii="Verdana" w:hAnsi="Verdana" w:eastAsia="Times New Roman" w:cs="Times New Roman"/>
                <w:color w:val="000000"/>
                <w:sz w:val="16"/>
                <w:szCs w:val="16"/>
                <w:lang w:eastAsia="ro-RO"/>
              </w:rPr>
            </w:pPr>
          </w:p>
        </w:tc>
        <w:tc>
          <w:tcPr>
            <w:tcW w:w="1549" w:type="pct"/>
            <w:tcBorders>
              <w:top w:val="outset" w:color="auto" w:sz="6" w:space="0"/>
              <w:left w:val="outset" w:color="auto" w:sz="6" w:space="0"/>
              <w:bottom w:val="outset" w:color="auto" w:sz="6" w:space="0"/>
              <w:right w:val="outset" w:color="auto" w:sz="6" w:space="0"/>
            </w:tcBorders>
          </w:tcPr>
          <w:p w14:paraId="613FEF95">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Alte competenţe specifice</w:t>
            </w:r>
            <w:r>
              <w:rPr>
                <w:rFonts w:ascii="Verdana" w:hAnsi="Verdana" w:eastAsia="Times New Roman" w:cs="Times New Roman"/>
                <w:color w:val="000000"/>
                <w:sz w:val="16"/>
                <w:szCs w:val="16"/>
                <w:vertAlign w:val="superscript"/>
                <w:lang w:eastAsia="ro-RO"/>
              </w:rPr>
              <w:t>13</w:t>
            </w:r>
          </w:p>
        </w:tc>
        <w:tc>
          <w:tcPr>
            <w:tcW w:w="1551" w:type="pct"/>
            <w:tcBorders>
              <w:top w:val="outset" w:color="auto" w:sz="6" w:space="0"/>
              <w:left w:val="outset" w:color="auto" w:sz="6" w:space="0"/>
              <w:bottom w:val="outset" w:color="auto" w:sz="6" w:space="0"/>
              <w:right w:val="outset" w:color="auto" w:sz="6" w:space="0"/>
            </w:tcBorders>
            <w:vAlign w:val="top"/>
          </w:tcPr>
          <w:p w14:paraId="08D8D3CF">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competențe în domeniul financiar-contabil și bugetar;</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competențe în domeniul achizițiilor publice;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utilizarea platformei SEAP/SICAP;</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întocmirea, verificarea și gestionarea documentațiilor de achiziție;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monitorizarea contractelor de achiziții publice;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gestionarea, evidența și arhivarea documentelor;</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aplicarea procedurilor de control intern managerial;</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capacitate de analiză, sinteză, planificare și organizare;</w:t>
            </w:r>
            <w:r>
              <w:rPr>
                <w:rFonts w:ascii="Verdana" w:hAnsi="Verdana" w:eastAsia="Times New Roman" w:cs="Times New Roman"/>
                <w:color w:val="000000"/>
                <w:sz w:val="16"/>
                <w:szCs w:val="16"/>
                <w:lang w:eastAsia="ro-RO"/>
              </w:rPr>
              <w:br w:type="textWrapping"/>
            </w:r>
            <w:r>
              <w:rPr>
                <w:rFonts w:ascii="Verdana" w:hAnsi="Verdana" w:eastAsia="Times New Roman" w:cs="Times New Roman"/>
                <w:color w:val="000000"/>
                <w:sz w:val="16"/>
                <w:szCs w:val="16"/>
                <w:lang w:eastAsia="ro-RO"/>
              </w:rPr>
              <w:t>- respectarea termenelor, procedurilor și circuitului documentelor – nivel operațional.</w:t>
            </w:r>
          </w:p>
        </w:tc>
      </w:tr>
      <w:tr w14:paraId="30C5FE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29F60635">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Sfera relaţională a titularului postului</w:t>
            </w:r>
          </w:p>
        </w:tc>
      </w:tr>
      <w:tr w14:paraId="36AAC4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946" w:type="pct"/>
            <w:vMerge w:val="restart"/>
            <w:tcBorders>
              <w:top w:val="outset" w:color="auto" w:sz="6" w:space="0"/>
              <w:left w:val="outset" w:color="auto" w:sz="6" w:space="0"/>
              <w:bottom w:val="outset" w:color="auto" w:sz="6" w:space="0"/>
              <w:right w:val="outset" w:color="auto" w:sz="6" w:space="0"/>
            </w:tcBorders>
            <w:vAlign w:val="center"/>
          </w:tcPr>
          <w:p w14:paraId="28AAC713">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Sfera relaţională internă</w:t>
            </w:r>
          </w:p>
        </w:tc>
        <w:tc>
          <w:tcPr>
            <w:tcW w:w="952" w:type="pct"/>
            <w:tcBorders>
              <w:top w:val="outset" w:color="auto" w:sz="6" w:space="0"/>
              <w:left w:val="outset" w:color="auto" w:sz="6" w:space="0"/>
              <w:bottom w:val="outset" w:color="auto" w:sz="6" w:space="0"/>
              <w:right w:val="outset" w:color="auto" w:sz="6" w:space="0"/>
            </w:tcBorders>
            <w:vAlign w:val="center"/>
          </w:tcPr>
          <w:p w14:paraId="50115D3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Relaţii ierarhice</w:t>
            </w:r>
          </w:p>
        </w:tc>
        <w:tc>
          <w:tcPr>
            <w:tcW w:w="3100" w:type="pct"/>
            <w:gridSpan w:val="2"/>
            <w:tcBorders>
              <w:top w:val="outset" w:color="auto" w:sz="6" w:space="0"/>
              <w:left w:val="outset" w:color="auto" w:sz="6" w:space="0"/>
              <w:bottom w:val="outset" w:color="auto" w:sz="6" w:space="0"/>
              <w:right w:val="outset" w:color="auto" w:sz="6" w:space="0"/>
            </w:tcBorders>
          </w:tcPr>
          <w:p w14:paraId="4CB56FC6">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subordonat faţă de Conducătorul/Directorul executiv al instituţiei</w:t>
            </w:r>
          </w:p>
          <w:p w14:paraId="160502E5">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superior pentru – nu este cazul </w:t>
            </w:r>
          </w:p>
          <w:p w14:paraId="478571C3">
            <w:pPr>
              <w:spacing w:after="0" w:line="240" w:lineRule="auto"/>
              <w:jc w:val="left"/>
              <w:rPr>
                <w:rFonts w:ascii="Verdana" w:hAnsi="Verdana" w:eastAsia="Times New Roman" w:cs="Times New Roman"/>
                <w:color w:val="000000"/>
                <w:sz w:val="16"/>
                <w:szCs w:val="16"/>
                <w:lang w:eastAsia="ro-RO"/>
              </w:rPr>
            </w:pPr>
          </w:p>
        </w:tc>
      </w:tr>
      <w:tr w14:paraId="2DCAEC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28A8EC2">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7F7ADAD2">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Relaţii funcţionale</w:t>
            </w:r>
          </w:p>
        </w:tc>
        <w:tc>
          <w:tcPr>
            <w:tcW w:w="3100" w:type="pct"/>
            <w:gridSpan w:val="2"/>
            <w:tcBorders>
              <w:top w:val="outset" w:color="auto" w:sz="6" w:space="0"/>
              <w:left w:val="outset" w:color="auto" w:sz="6" w:space="0"/>
              <w:bottom w:val="outset" w:color="auto" w:sz="6" w:space="0"/>
              <w:right w:val="outset" w:color="auto" w:sz="6" w:space="0"/>
            </w:tcBorders>
          </w:tcPr>
          <w:p w14:paraId="27EF8B39">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  cu funcționarii publici și personalul contractual din compartimentele instituției;</w:t>
            </w:r>
          </w:p>
          <w:p w14:paraId="4A184F08">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 cu birourile/serviciile/compartimentele/direcţiile de specialitate din cadrul ministerului culturii;</w:t>
            </w:r>
          </w:p>
          <w:p w14:paraId="6579ACA7">
            <w:pPr>
              <w:spacing w:after="0" w:line="240" w:lineRule="auto"/>
              <w:jc w:val="left"/>
              <w:rPr>
                <w:rFonts w:ascii="Verdana" w:hAnsi="Verdana" w:eastAsia="Times New Roman" w:cs="Times New Roman"/>
                <w:color w:val="000000"/>
                <w:sz w:val="16"/>
                <w:szCs w:val="16"/>
                <w:lang w:eastAsia="ro-RO"/>
              </w:rPr>
            </w:pPr>
          </w:p>
        </w:tc>
      </w:tr>
      <w:tr w14:paraId="03059F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4C842D7">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7A606582">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Relaţii de control</w:t>
            </w:r>
          </w:p>
        </w:tc>
        <w:tc>
          <w:tcPr>
            <w:tcW w:w="3100" w:type="pct"/>
            <w:gridSpan w:val="2"/>
            <w:tcBorders>
              <w:top w:val="outset" w:color="auto" w:sz="6" w:space="0"/>
              <w:left w:val="outset" w:color="auto" w:sz="6" w:space="0"/>
              <w:bottom w:val="outset" w:color="auto" w:sz="6" w:space="0"/>
              <w:right w:val="outset" w:color="auto" w:sz="6" w:space="0"/>
            </w:tcBorders>
          </w:tcPr>
          <w:p w14:paraId="754B28F6">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en-US" w:eastAsia="ro-RO"/>
              </w:rPr>
              <w:t xml:space="preserve"> - c</w:t>
            </w:r>
            <w:r>
              <w:rPr>
                <w:rFonts w:ascii="Verdana" w:hAnsi="Verdana" w:eastAsia="Times New Roman" w:cs="Times New Roman"/>
                <w:color w:val="000000"/>
                <w:sz w:val="16"/>
                <w:szCs w:val="16"/>
                <w:lang w:eastAsia="ro-RO"/>
              </w:rPr>
              <w:t>onform prevederilor legale</w:t>
            </w:r>
          </w:p>
        </w:tc>
      </w:tr>
      <w:tr w14:paraId="3A053A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2BFDEDD">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32351E0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Relaţii de reprezentare</w:t>
            </w:r>
          </w:p>
        </w:tc>
        <w:tc>
          <w:tcPr>
            <w:tcW w:w="3100" w:type="pct"/>
            <w:gridSpan w:val="2"/>
            <w:tcBorders>
              <w:top w:val="outset" w:color="auto" w:sz="6" w:space="0"/>
              <w:left w:val="outset" w:color="auto" w:sz="6" w:space="0"/>
              <w:bottom w:val="outset" w:color="auto" w:sz="6" w:space="0"/>
              <w:right w:val="outset" w:color="auto" w:sz="6" w:space="0"/>
            </w:tcBorders>
          </w:tcPr>
          <w:p w14:paraId="0075896C">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numai când se solicită/se deleagă acest lucru, în mod expes, de către conducerea  instituţiei;</w:t>
            </w:r>
          </w:p>
          <w:p w14:paraId="1DD4C3E6">
            <w:pPr>
              <w:spacing w:after="0" w:line="240" w:lineRule="auto"/>
              <w:jc w:val="left"/>
              <w:rPr>
                <w:rFonts w:ascii="Verdana" w:hAnsi="Verdana" w:eastAsia="Times New Roman" w:cs="Times New Roman"/>
                <w:color w:val="000000"/>
                <w:sz w:val="16"/>
                <w:szCs w:val="16"/>
                <w:lang w:eastAsia="ro-RO"/>
              </w:rPr>
            </w:pPr>
          </w:p>
        </w:tc>
      </w:tr>
      <w:tr w14:paraId="1E9974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946" w:type="pct"/>
            <w:vMerge w:val="restart"/>
            <w:tcBorders>
              <w:top w:val="outset" w:color="auto" w:sz="6" w:space="0"/>
              <w:left w:val="outset" w:color="auto" w:sz="6" w:space="0"/>
              <w:bottom w:val="outset" w:color="auto" w:sz="6" w:space="0"/>
              <w:right w:val="outset" w:color="auto" w:sz="6" w:space="0"/>
            </w:tcBorders>
            <w:vAlign w:val="center"/>
          </w:tcPr>
          <w:p w14:paraId="49F767D4">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Sfera relaţională externă cu</w:t>
            </w:r>
          </w:p>
        </w:tc>
        <w:tc>
          <w:tcPr>
            <w:tcW w:w="952" w:type="pct"/>
            <w:tcBorders>
              <w:top w:val="outset" w:color="auto" w:sz="6" w:space="0"/>
              <w:left w:val="outset" w:color="auto" w:sz="6" w:space="0"/>
              <w:bottom w:val="outset" w:color="auto" w:sz="6" w:space="0"/>
              <w:right w:val="outset" w:color="auto" w:sz="6" w:space="0"/>
            </w:tcBorders>
            <w:vAlign w:val="center"/>
          </w:tcPr>
          <w:p w14:paraId="786B5AFC">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Autorităţi şi instituţii publice</w:t>
            </w:r>
          </w:p>
        </w:tc>
        <w:tc>
          <w:tcPr>
            <w:tcW w:w="3100" w:type="pct"/>
            <w:gridSpan w:val="2"/>
            <w:tcBorders>
              <w:top w:val="outset" w:color="auto" w:sz="6" w:space="0"/>
              <w:left w:val="outset" w:color="auto" w:sz="6" w:space="0"/>
              <w:bottom w:val="outset" w:color="auto" w:sz="6" w:space="0"/>
              <w:right w:val="outset" w:color="auto" w:sz="6" w:space="0"/>
            </w:tcBorders>
          </w:tcPr>
          <w:p w14:paraId="467E6379">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val="it-IT" w:eastAsia="ro-RO"/>
              </w:rPr>
              <w:t>-</w:t>
            </w:r>
            <w:r>
              <w:rPr>
                <w:rFonts w:ascii="Verdana" w:hAnsi="Verdana" w:eastAsia="Times New Roman" w:cs="Times New Roman"/>
                <w:color w:val="000000"/>
                <w:sz w:val="16"/>
                <w:szCs w:val="16"/>
                <w:lang w:eastAsia="ro-RO"/>
              </w:rPr>
              <w:t>potrivit cerinţelor implicate de îndatoririle postului, în limita competenţelor delegate;</w:t>
            </w:r>
          </w:p>
          <w:p w14:paraId="43C867F7">
            <w:pPr>
              <w:spacing w:after="0" w:line="240" w:lineRule="auto"/>
              <w:jc w:val="left"/>
              <w:rPr>
                <w:rFonts w:ascii="Verdana" w:hAnsi="Verdana" w:eastAsia="Times New Roman" w:cs="Times New Roman"/>
                <w:color w:val="000000"/>
                <w:sz w:val="16"/>
                <w:szCs w:val="16"/>
                <w:lang w:val="it-IT" w:eastAsia="ro-RO"/>
              </w:rPr>
            </w:pPr>
          </w:p>
        </w:tc>
      </w:tr>
      <w:tr w14:paraId="09FE81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0421C48">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326464C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Organizaţii internaţionale</w:t>
            </w:r>
          </w:p>
        </w:tc>
        <w:tc>
          <w:tcPr>
            <w:tcW w:w="3100" w:type="pct"/>
            <w:gridSpan w:val="2"/>
            <w:tcBorders>
              <w:top w:val="outset" w:color="auto" w:sz="6" w:space="0"/>
              <w:left w:val="outset" w:color="auto" w:sz="6" w:space="0"/>
              <w:bottom w:val="outset" w:color="auto" w:sz="6" w:space="0"/>
              <w:right w:val="outset" w:color="auto" w:sz="6" w:space="0"/>
            </w:tcBorders>
          </w:tcPr>
          <w:p w14:paraId="414B243D">
            <w:pPr>
              <w:pStyle w:val="4"/>
              <w:tabs>
                <w:tab w:val="left" w:pos="252"/>
              </w:tabs>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 potrivit cerinţelor implicate de îndatoririle postului, însă numai cu înştiinţarea şi aprobarea conducerii, relaţii de colaborare/parteneriat;</w:t>
            </w:r>
          </w:p>
          <w:p w14:paraId="58C1C1C4">
            <w:pPr>
              <w:spacing w:after="0" w:line="240" w:lineRule="auto"/>
              <w:jc w:val="left"/>
              <w:rPr>
                <w:rFonts w:ascii="Verdana" w:hAnsi="Verdana" w:eastAsia="Times New Roman" w:cs="Times New Roman"/>
                <w:color w:val="000000"/>
                <w:sz w:val="16"/>
                <w:szCs w:val="16"/>
                <w:lang w:eastAsia="ro-RO"/>
              </w:rPr>
            </w:pPr>
          </w:p>
        </w:tc>
      </w:tr>
      <w:tr w14:paraId="57E80A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91CD25B">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6E426946">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Organizaţii internaţionale</w:t>
            </w:r>
          </w:p>
        </w:tc>
        <w:tc>
          <w:tcPr>
            <w:tcW w:w="3100" w:type="pct"/>
            <w:gridSpan w:val="2"/>
            <w:tcBorders>
              <w:top w:val="outset" w:color="auto" w:sz="6" w:space="0"/>
              <w:left w:val="outset" w:color="auto" w:sz="6" w:space="0"/>
              <w:bottom w:val="outset" w:color="auto" w:sz="6" w:space="0"/>
              <w:right w:val="outset" w:color="auto" w:sz="6" w:space="0"/>
            </w:tcBorders>
          </w:tcPr>
          <w:p w14:paraId="259B0F80">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w:t>
            </w:r>
          </w:p>
        </w:tc>
      </w:tr>
      <w:tr w14:paraId="4E1CA9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775A8C9">
            <w:pPr>
              <w:spacing w:after="0" w:line="240" w:lineRule="auto"/>
              <w:jc w:val="left"/>
              <w:rPr>
                <w:rFonts w:ascii="Verdana" w:hAnsi="Verdana" w:eastAsia="Times New Roman" w:cs="Times New Roman"/>
                <w:color w:val="000000"/>
                <w:sz w:val="16"/>
                <w:szCs w:val="16"/>
                <w:lang w:eastAsia="ro-RO"/>
              </w:rPr>
            </w:pPr>
          </w:p>
        </w:tc>
        <w:tc>
          <w:tcPr>
            <w:tcW w:w="952" w:type="pct"/>
            <w:tcBorders>
              <w:top w:val="outset" w:color="auto" w:sz="6" w:space="0"/>
              <w:left w:val="outset" w:color="auto" w:sz="6" w:space="0"/>
              <w:bottom w:val="outset" w:color="auto" w:sz="6" w:space="0"/>
              <w:right w:val="outset" w:color="auto" w:sz="6" w:space="0"/>
            </w:tcBorders>
            <w:vAlign w:val="center"/>
          </w:tcPr>
          <w:p w14:paraId="36C8D38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Persoane juridice private</w:t>
            </w:r>
          </w:p>
        </w:tc>
        <w:tc>
          <w:tcPr>
            <w:tcW w:w="3100" w:type="pct"/>
            <w:gridSpan w:val="2"/>
            <w:tcBorders>
              <w:top w:val="outset" w:color="auto" w:sz="6" w:space="0"/>
              <w:left w:val="outset" w:color="auto" w:sz="6" w:space="0"/>
              <w:bottom w:val="outset" w:color="auto" w:sz="6" w:space="0"/>
              <w:right w:val="outset" w:color="auto" w:sz="6" w:space="0"/>
            </w:tcBorders>
          </w:tcPr>
          <w:p w14:paraId="00DAEA9A">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 potrivit cerinţelor implicate de îndatoririle postului, însă numai cu înştiinţarea şi aprobarea conducerii ;</w:t>
            </w:r>
          </w:p>
          <w:p w14:paraId="1163F2A1">
            <w:pPr>
              <w:spacing w:after="0" w:line="240" w:lineRule="auto"/>
              <w:jc w:val="left"/>
              <w:rPr>
                <w:rFonts w:ascii="Verdana" w:hAnsi="Verdana" w:eastAsia="Times New Roman" w:cs="Times New Roman"/>
                <w:color w:val="000000"/>
                <w:sz w:val="16"/>
                <w:szCs w:val="16"/>
                <w:lang w:eastAsia="ro-RO"/>
              </w:rPr>
            </w:pPr>
          </w:p>
        </w:tc>
      </w:tr>
      <w:tr w14:paraId="5909E3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vAlign w:val="center"/>
          </w:tcPr>
          <w:p w14:paraId="32C2C02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Libertatea decizională</w:t>
            </w:r>
            <w:r>
              <w:rPr>
                <w:rFonts w:ascii="Verdana" w:hAnsi="Verdana" w:eastAsia="Times New Roman" w:cs="Times New Roman"/>
                <w:color w:val="000000"/>
                <w:sz w:val="16"/>
                <w:szCs w:val="16"/>
                <w:vertAlign w:val="superscript"/>
                <w:lang w:eastAsia="ro-RO"/>
              </w:rPr>
              <w:t>14</w:t>
            </w:r>
          </w:p>
        </w:tc>
        <w:tc>
          <w:tcPr>
            <w:tcW w:w="3100" w:type="pct"/>
            <w:gridSpan w:val="2"/>
            <w:tcBorders>
              <w:top w:val="outset" w:color="auto" w:sz="6" w:space="0"/>
              <w:left w:val="outset" w:color="auto" w:sz="6" w:space="0"/>
              <w:bottom w:val="outset" w:color="auto" w:sz="6" w:space="0"/>
              <w:right w:val="outset" w:color="auto" w:sz="6" w:space="0"/>
            </w:tcBorders>
          </w:tcPr>
          <w:p w14:paraId="7674435A">
            <w:pPr>
              <w:spacing w:after="0" w:line="240" w:lineRule="auto"/>
              <w:jc w:val="left"/>
              <w:rPr>
                <w:rFonts w:ascii="Verdana" w:hAnsi="Verdana" w:eastAsia="Times New Roman" w:cs="Times New Roman"/>
                <w:color w:val="000000"/>
                <w:sz w:val="16"/>
                <w:szCs w:val="16"/>
                <w:lang w:eastAsia="ro-RO"/>
              </w:rPr>
            </w:pPr>
            <w:r>
              <w:rPr>
                <w:sz w:val="20"/>
                <w:szCs w:val="20"/>
              </w:rPr>
              <w:t xml:space="preserve">- </w:t>
            </w:r>
            <w:r>
              <w:rPr>
                <w:rFonts w:ascii="Verdana" w:hAnsi="Verdana" w:eastAsia="Times New Roman" w:cs="Times New Roman"/>
                <w:color w:val="000000"/>
                <w:sz w:val="16"/>
                <w:szCs w:val="16"/>
                <w:lang w:eastAsia="ro-RO"/>
              </w:rPr>
              <w:t xml:space="preserve"> toate lucrările, propunerile şi iniţiativele vor fi supuse atenţiei şi aprobării conducerii;</w:t>
            </w:r>
          </w:p>
          <w:p w14:paraId="3A07997D">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îndeplineşte activităţile/sarcinile repartizate/dispuse de conducere în limita(ele) de competenţă atribuite prin</w:t>
            </w:r>
          </w:p>
          <w:p w14:paraId="595D4356">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 xml:space="preserve"> actele normative în vigoare, corespunzătoare nivelului funcţiei publice de execuţie – specifice postului.</w:t>
            </w:r>
          </w:p>
          <w:p w14:paraId="391AA9D3">
            <w:pPr>
              <w:tabs>
                <w:tab w:val="left" w:pos="252"/>
                <w:tab w:val="left" w:pos="432"/>
              </w:tabs>
              <w:ind w:right="-360"/>
              <w:rPr>
                <w:sz w:val="20"/>
                <w:szCs w:val="20"/>
              </w:rPr>
            </w:pPr>
          </w:p>
          <w:p w14:paraId="1A2E918C">
            <w:pPr>
              <w:spacing w:after="0" w:line="240" w:lineRule="auto"/>
              <w:jc w:val="left"/>
              <w:rPr>
                <w:rFonts w:ascii="Verdana" w:hAnsi="Verdana" w:eastAsia="Times New Roman" w:cs="Times New Roman"/>
                <w:color w:val="000000"/>
                <w:sz w:val="16"/>
                <w:szCs w:val="16"/>
                <w:lang w:eastAsia="ro-RO"/>
              </w:rPr>
            </w:pPr>
          </w:p>
        </w:tc>
      </w:tr>
      <w:tr w14:paraId="4FB8E0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vAlign w:val="center"/>
          </w:tcPr>
          <w:p w14:paraId="38610E7C">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Delegarea de atribuţii şi competenţă</w:t>
            </w:r>
          </w:p>
        </w:tc>
        <w:tc>
          <w:tcPr>
            <w:tcW w:w="3100" w:type="pct"/>
            <w:gridSpan w:val="2"/>
            <w:tcBorders>
              <w:top w:val="outset" w:color="auto" w:sz="6" w:space="0"/>
              <w:left w:val="outset" w:color="auto" w:sz="6" w:space="0"/>
              <w:bottom w:val="outset" w:color="auto" w:sz="6" w:space="0"/>
              <w:right w:val="outset" w:color="auto" w:sz="6" w:space="0"/>
            </w:tcBorders>
          </w:tcPr>
          <w:p w14:paraId="487EC35F">
            <w:pPr>
              <w:spacing w:after="0" w:line="240" w:lineRule="auto"/>
              <w:jc w:val="left"/>
              <w:rPr>
                <w:rFonts w:ascii="Verdana" w:hAnsi="Verdana" w:eastAsia="Times New Roman" w:cs="Times New Roman"/>
                <w:color w:val="000000"/>
                <w:sz w:val="16"/>
                <w:szCs w:val="16"/>
                <w:lang w:val="en-US" w:eastAsia="ro-RO"/>
              </w:rPr>
            </w:pPr>
            <w:r>
              <w:rPr>
                <w:rFonts w:ascii="Verdana" w:hAnsi="Verdana" w:eastAsia="Times New Roman" w:cs="Times New Roman"/>
                <w:color w:val="000000"/>
                <w:sz w:val="16"/>
                <w:szCs w:val="16"/>
                <w:lang w:val="en-US" w:eastAsia="ro-RO"/>
              </w:rPr>
              <w:t>-</w:t>
            </w:r>
          </w:p>
        </w:tc>
      </w:tr>
      <w:tr w14:paraId="7296A3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58B5556B">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Întocmit</w:t>
            </w:r>
            <w:r>
              <w:rPr>
                <w:rFonts w:ascii="Verdana" w:hAnsi="Verdana" w:eastAsia="Times New Roman" w:cs="Times New Roman"/>
                <w:b/>
                <w:bCs/>
                <w:color w:val="000000"/>
                <w:sz w:val="16"/>
                <w:szCs w:val="16"/>
                <w:vertAlign w:val="superscript"/>
                <w:lang w:eastAsia="ro-RO"/>
              </w:rPr>
              <w:t>15</w:t>
            </w:r>
          </w:p>
        </w:tc>
      </w:tr>
      <w:tr w14:paraId="37799B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7A264E70">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Numele şi prenumele</w:t>
            </w:r>
          </w:p>
        </w:tc>
        <w:tc>
          <w:tcPr>
            <w:tcW w:w="3100" w:type="pct"/>
            <w:gridSpan w:val="2"/>
            <w:tcBorders>
              <w:top w:val="outset" w:color="auto" w:sz="6" w:space="0"/>
              <w:left w:val="outset" w:color="auto" w:sz="6" w:space="0"/>
              <w:bottom w:val="outset" w:color="auto" w:sz="6" w:space="0"/>
              <w:right w:val="outset" w:color="auto" w:sz="6" w:space="0"/>
            </w:tcBorders>
          </w:tcPr>
          <w:p w14:paraId="39838DA0">
            <w:pPr>
              <w:spacing w:after="0" w:line="240" w:lineRule="auto"/>
              <w:jc w:val="left"/>
              <w:rPr>
                <w:rFonts w:hint="default" w:ascii="Verdana" w:hAnsi="Verdana" w:eastAsia="Times New Roman" w:cs="Times New Roman"/>
                <w:color w:val="auto"/>
                <w:sz w:val="16"/>
                <w:szCs w:val="16"/>
                <w:lang w:val="en-US" w:eastAsia="ro-RO"/>
              </w:rPr>
            </w:pPr>
            <w:r>
              <w:rPr>
                <w:rFonts w:hint="default" w:ascii="Verdana" w:hAnsi="Verdana" w:eastAsia="Times New Roman" w:cs="Times New Roman"/>
                <w:color w:val="auto"/>
                <w:sz w:val="16"/>
                <w:szCs w:val="16"/>
                <w:lang w:val="en-US" w:eastAsia="ro-RO"/>
              </w:rPr>
              <w:t>Crăciunescu Șerban Valeriu</w:t>
            </w:r>
          </w:p>
        </w:tc>
      </w:tr>
      <w:tr w14:paraId="7E9648A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158465CA">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Funcţia publică de conducere</w:t>
            </w:r>
          </w:p>
        </w:tc>
        <w:tc>
          <w:tcPr>
            <w:tcW w:w="3100" w:type="pct"/>
            <w:gridSpan w:val="2"/>
            <w:tcBorders>
              <w:top w:val="outset" w:color="auto" w:sz="6" w:space="0"/>
              <w:left w:val="outset" w:color="auto" w:sz="6" w:space="0"/>
              <w:bottom w:val="outset" w:color="auto" w:sz="6" w:space="0"/>
              <w:right w:val="outset" w:color="auto" w:sz="6" w:space="0"/>
            </w:tcBorders>
          </w:tcPr>
          <w:p w14:paraId="3429A598">
            <w:pPr>
              <w:spacing w:after="0" w:line="240" w:lineRule="auto"/>
              <w:jc w:val="left"/>
              <w:rPr>
                <w:rFonts w:ascii="Verdana" w:hAnsi="Verdana" w:eastAsia="Times New Roman" w:cs="Times New Roman"/>
                <w:color w:val="auto"/>
                <w:sz w:val="16"/>
                <w:szCs w:val="16"/>
                <w:lang w:eastAsia="ro-RO"/>
              </w:rPr>
            </w:pPr>
            <w:r>
              <w:rPr>
                <w:rFonts w:ascii="Verdana" w:hAnsi="Verdana" w:eastAsia="Times New Roman" w:cs="Times New Roman"/>
                <w:color w:val="auto"/>
                <w:sz w:val="16"/>
                <w:szCs w:val="16"/>
                <w:lang w:eastAsia="ro-RO"/>
              </w:rPr>
              <w:t>Director executiv</w:t>
            </w:r>
          </w:p>
        </w:tc>
      </w:tr>
      <w:tr w14:paraId="436D78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58B4B55">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Semnătura</w:t>
            </w:r>
          </w:p>
        </w:tc>
        <w:tc>
          <w:tcPr>
            <w:tcW w:w="3100" w:type="pct"/>
            <w:gridSpan w:val="2"/>
            <w:tcBorders>
              <w:top w:val="outset" w:color="auto" w:sz="6" w:space="0"/>
              <w:left w:val="outset" w:color="auto" w:sz="6" w:space="0"/>
              <w:bottom w:val="outset" w:color="auto" w:sz="6" w:space="0"/>
              <w:right w:val="outset" w:color="auto" w:sz="6" w:space="0"/>
            </w:tcBorders>
          </w:tcPr>
          <w:p w14:paraId="19D62D72">
            <w:pPr>
              <w:spacing w:after="0" w:line="240" w:lineRule="auto"/>
              <w:jc w:val="left"/>
              <w:rPr>
                <w:rFonts w:ascii="Verdana" w:hAnsi="Verdana" w:eastAsia="Times New Roman" w:cs="Times New Roman"/>
                <w:color w:val="000000"/>
                <w:sz w:val="16"/>
                <w:szCs w:val="16"/>
                <w:lang w:eastAsia="ro-RO"/>
              </w:rPr>
            </w:pPr>
          </w:p>
        </w:tc>
      </w:tr>
      <w:tr w14:paraId="680371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629C2A93">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Data întocmirii</w:t>
            </w:r>
          </w:p>
        </w:tc>
        <w:tc>
          <w:tcPr>
            <w:tcW w:w="3100" w:type="pct"/>
            <w:gridSpan w:val="2"/>
            <w:tcBorders>
              <w:top w:val="outset" w:color="auto" w:sz="6" w:space="0"/>
              <w:left w:val="outset" w:color="auto" w:sz="6" w:space="0"/>
              <w:bottom w:val="outset" w:color="auto" w:sz="6" w:space="0"/>
              <w:right w:val="outset" w:color="auto" w:sz="6" w:space="0"/>
            </w:tcBorders>
          </w:tcPr>
          <w:p w14:paraId="3641BC00">
            <w:pPr>
              <w:spacing w:after="0" w:line="240" w:lineRule="auto"/>
              <w:jc w:val="left"/>
              <w:rPr>
                <w:rFonts w:hint="default" w:ascii="Verdana" w:hAnsi="Verdana" w:eastAsia="Times New Roman" w:cs="Times New Roman"/>
                <w:color w:val="000000"/>
                <w:sz w:val="16"/>
                <w:szCs w:val="16"/>
                <w:lang w:val="en-US" w:eastAsia="ro-RO"/>
              </w:rPr>
            </w:pPr>
          </w:p>
        </w:tc>
      </w:tr>
      <w:tr w14:paraId="267A67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7B6F5249">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Luat la cunoştinţă de către ocupantul postului</w:t>
            </w:r>
          </w:p>
        </w:tc>
      </w:tr>
      <w:tr w14:paraId="07D42F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0369D9FD">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Numele şi prenumele</w:t>
            </w:r>
          </w:p>
        </w:tc>
        <w:tc>
          <w:tcPr>
            <w:tcW w:w="3100" w:type="pct"/>
            <w:gridSpan w:val="2"/>
            <w:tcBorders>
              <w:top w:val="outset" w:color="auto" w:sz="6" w:space="0"/>
              <w:left w:val="outset" w:color="auto" w:sz="6" w:space="0"/>
              <w:bottom w:val="outset" w:color="auto" w:sz="6" w:space="0"/>
              <w:right w:val="outset" w:color="auto" w:sz="6" w:space="0"/>
            </w:tcBorders>
          </w:tcPr>
          <w:p w14:paraId="08CE9EB3">
            <w:pPr>
              <w:spacing w:after="0" w:line="240" w:lineRule="auto"/>
              <w:jc w:val="left"/>
              <w:rPr>
                <w:rFonts w:hint="default" w:ascii="Verdana" w:hAnsi="Verdana" w:eastAsia="Times New Roman" w:cs="Times New Roman"/>
                <w:color w:val="000000"/>
                <w:sz w:val="16"/>
                <w:szCs w:val="16"/>
                <w:lang w:val="en-US" w:eastAsia="ro-RO"/>
              </w:rPr>
            </w:pPr>
          </w:p>
        </w:tc>
      </w:tr>
      <w:tr w14:paraId="15A58E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2A6BEB73">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Semnătura</w:t>
            </w:r>
          </w:p>
        </w:tc>
        <w:tc>
          <w:tcPr>
            <w:tcW w:w="3100" w:type="pct"/>
            <w:gridSpan w:val="2"/>
            <w:tcBorders>
              <w:top w:val="outset" w:color="auto" w:sz="6" w:space="0"/>
              <w:left w:val="outset" w:color="auto" w:sz="6" w:space="0"/>
              <w:bottom w:val="outset" w:color="auto" w:sz="6" w:space="0"/>
              <w:right w:val="outset" w:color="auto" w:sz="6" w:space="0"/>
            </w:tcBorders>
          </w:tcPr>
          <w:p w14:paraId="284DB466">
            <w:pPr>
              <w:spacing w:after="0" w:line="240" w:lineRule="auto"/>
              <w:jc w:val="left"/>
              <w:rPr>
                <w:rFonts w:ascii="Verdana" w:hAnsi="Verdana" w:eastAsia="Times New Roman" w:cs="Times New Roman"/>
                <w:color w:val="000000"/>
                <w:sz w:val="16"/>
                <w:szCs w:val="16"/>
                <w:lang w:eastAsia="ro-RO"/>
              </w:rPr>
            </w:pPr>
          </w:p>
        </w:tc>
      </w:tr>
      <w:tr w14:paraId="2018968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5C730CFA">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Data</w:t>
            </w:r>
          </w:p>
        </w:tc>
        <w:tc>
          <w:tcPr>
            <w:tcW w:w="3100" w:type="pct"/>
            <w:gridSpan w:val="2"/>
            <w:tcBorders>
              <w:top w:val="outset" w:color="auto" w:sz="6" w:space="0"/>
              <w:left w:val="outset" w:color="auto" w:sz="6" w:space="0"/>
              <w:bottom w:val="outset" w:color="auto" w:sz="6" w:space="0"/>
              <w:right w:val="outset" w:color="auto" w:sz="6" w:space="0"/>
            </w:tcBorders>
          </w:tcPr>
          <w:p w14:paraId="1AFC34B8">
            <w:pPr>
              <w:spacing w:after="0" w:line="240" w:lineRule="auto"/>
              <w:jc w:val="left"/>
              <w:rPr>
                <w:rFonts w:hint="default" w:ascii="Verdana" w:hAnsi="Verdana" w:eastAsia="Times New Roman" w:cs="Times New Roman"/>
                <w:color w:val="000000"/>
                <w:sz w:val="16"/>
                <w:szCs w:val="16"/>
                <w:lang w:val="en-US" w:eastAsia="ro-RO"/>
              </w:rPr>
            </w:pPr>
            <w:bookmarkStart w:id="6" w:name="_GoBack"/>
            <w:bookmarkEnd w:id="6"/>
          </w:p>
        </w:tc>
      </w:tr>
      <w:tr w14:paraId="38237B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0" w:type="auto"/>
            <w:gridSpan w:val="4"/>
            <w:tcBorders>
              <w:top w:val="outset" w:color="auto" w:sz="6" w:space="0"/>
              <w:left w:val="outset" w:color="auto" w:sz="6" w:space="0"/>
              <w:bottom w:val="outset" w:color="auto" w:sz="6" w:space="0"/>
              <w:right w:val="outset" w:color="auto" w:sz="6" w:space="0"/>
            </w:tcBorders>
          </w:tcPr>
          <w:p w14:paraId="5188B257">
            <w:pPr>
              <w:spacing w:after="0" w:line="240" w:lineRule="auto"/>
              <w:jc w:val="center"/>
              <w:rPr>
                <w:rFonts w:ascii="Verdana" w:hAnsi="Verdana" w:eastAsia="Times New Roman" w:cs="Times New Roman"/>
                <w:color w:val="000000"/>
                <w:sz w:val="16"/>
                <w:szCs w:val="16"/>
                <w:lang w:eastAsia="ro-RO"/>
              </w:rPr>
            </w:pPr>
            <w:r>
              <w:rPr>
                <w:rFonts w:ascii="Verdana" w:hAnsi="Verdana" w:eastAsia="Times New Roman" w:cs="Times New Roman"/>
                <w:b/>
                <w:bCs/>
                <w:color w:val="000000"/>
                <w:sz w:val="16"/>
                <w:szCs w:val="16"/>
                <w:lang w:eastAsia="ro-RO"/>
              </w:rPr>
              <w:t>Contrasemnează</w:t>
            </w:r>
            <w:r>
              <w:rPr>
                <w:rFonts w:ascii="Verdana" w:hAnsi="Verdana" w:eastAsia="Times New Roman" w:cs="Times New Roman"/>
                <w:b/>
                <w:bCs/>
                <w:color w:val="000000"/>
                <w:sz w:val="16"/>
                <w:szCs w:val="16"/>
                <w:vertAlign w:val="superscript"/>
                <w:lang w:eastAsia="ro-RO"/>
              </w:rPr>
              <w:t>16</w:t>
            </w:r>
          </w:p>
        </w:tc>
      </w:tr>
      <w:tr w14:paraId="3CFB03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1BECB28B">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Numele şi prenumele</w:t>
            </w:r>
          </w:p>
        </w:tc>
        <w:tc>
          <w:tcPr>
            <w:tcW w:w="3100" w:type="pct"/>
            <w:gridSpan w:val="2"/>
            <w:tcBorders>
              <w:top w:val="outset" w:color="auto" w:sz="6" w:space="0"/>
              <w:left w:val="outset" w:color="auto" w:sz="6" w:space="0"/>
              <w:bottom w:val="outset" w:color="auto" w:sz="6" w:space="0"/>
              <w:right w:val="outset" w:color="auto" w:sz="6" w:space="0"/>
            </w:tcBorders>
          </w:tcPr>
          <w:p w14:paraId="7364F1EF">
            <w:pPr>
              <w:spacing w:after="0" w:line="240" w:lineRule="auto"/>
              <w:jc w:val="left"/>
              <w:rPr>
                <w:rFonts w:ascii="Verdana" w:hAnsi="Verdana" w:eastAsia="Times New Roman" w:cs="Times New Roman"/>
                <w:color w:val="000000"/>
                <w:sz w:val="16"/>
                <w:szCs w:val="16"/>
                <w:lang w:val="en-US" w:eastAsia="ro-RO"/>
              </w:rPr>
            </w:pPr>
          </w:p>
        </w:tc>
      </w:tr>
      <w:tr w14:paraId="338485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585710B8">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Funcţia</w:t>
            </w:r>
          </w:p>
        </w:tc>
        <w:tc>
          <w:tcPr>
            <w:tcW w:w="3100" w:type="pct"/>
            <w:gridSpan w:val="2"/>
            <w:tcBorders>
              <w:top w:val="outset" w:color="auto" w:sz="6" w:space="0"/>
              <w:left w:val="outset" w:color="auto" w:sz="6" w:space="0"/>
              <w:bottom w:val="outset" w:color="auto" w:sz="6" w:space="0"/>
              <w:right w:val="outset" w:color="auto" w:sz="6" w:space="0"/>
            </w:tcBorders>
          </w:tcPr>
          <w:p w14:paraId="19E763C8">
            <w:pPr>
              <w:spacing w:after="0" w:line="240" w:lineRule="auto"/>
              <w:jc w:val="left"/>
              <w:rPr>
                <w:rFonts w:ascii="Verdana" w:hAnsi="Verdana" w:eastAsia="Times New Roman" w:cs="Times New Roman"/>
                <w:color w:val="000000"/>
                <w:sz w:val="16"/>
                <w:szCs w:val="16"/>
                <w:lang w:val="en-US" w:eastAsia="ro-RO"/>
              </w:rPr>
            </w:pPr>
          </w:p>
        </w:tc>
      </w:tr>
      <w:tr w14:paraId="13385D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60F6181C">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Semnătura</w:t>
            </w:r>
          </w:p>
        </w:tc>
        <w:tc>
          <w:tcPr>
            <w:tcW w:w="3100" w:type="pct"/>
            <w:gridSpan w:val="2"/>
            <w:tcBorders>
              <w:top w:val="outset" w:color="auto" w:sz="6" w:space="0"/>
              <w:left w:val="outset" w:color="auto" w:sz="6" w:space="0"/>
              <w:bottom w:val="outset" w:color="auto" w:sz="6" w:space="0"/>
              <w:right w:val="outset" w:color="auto" w:sz="6" w:space="0"/>
            </w:tcBorders>
          </w:tcPr>
          <w:p w14:paraId="0EAE21A7">
            <w:pPr>
              <w:spacing w:after="0" w:line="240" w:lineRule="auto"/>
              <w:jc w:val="left"/>
              <w:rPr>
                <w:rFonts w:ascii="Verdana" w:hAnsi="Verdana" w:eastAsia="Times New Roman" w:cs="Times New Roman"/>
                <w:color w:val="000000"/>
                <w:sz w:val="16"/>
                <w:szCs w:val="16"/>
                <w:lang w:eastAsia="ro-RO"/>
              </w:rPr>
            </w:pPr>
          </w:p>
        </w:tc>
      </w:tr>
      <w:tr w14:paraId="64AE4E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99" w:type="pct"/>
            <w:gridSpan w:val="2"/>
            <w:tcBorders>
              <w:top w:val="outset" w:color="auto" w:sz="6" w:space="0"/>
              <w:left w:val="outset" w:color="auto" w:sz="6" w:space="0"/>
              <w:bottom w:val="outset" w:color="auto" w:sz="6" w:space="0"/>
              <w:right w:val="outset" w:color="auto" w:sz="6" w:space="0"/>
            </w:tcBorders>
          </w:tcPr>
          <w:p w14:paraId="0F378E38">
            <w:pPr>
              <w:spacing w:after="0" w:line="240" w:lineRule="auto"/>
              <w:jc w:val="left"/>
              <w:rPr>
                <w:rFonts w:ascii="Verdana" w:hAnsi="Verdana" w:eastAsia="Times New Roman" w:cs="Times New Roman"/>
                <w:color w:val="000000"/>
                <w:sz w:val="16"/>
                <w:szCs w:val="16"/>
                <w:lang w:eastAsia="ro-RO"/>
              </w:rPr>
            </w:pPr>
            <w:r>
              <w:rPr>
                <w:rFonts w:ascii="Verdana" w:hAnsi="Verdana" w:eastAsia="Times New Roman" w:cs="Times New Roman"/>
                <w:color w:val="000000"/>
                <w:sz w:val="16"/>
                <w:szCs w:val="16"/>
                <w:lang w:eastAsia="ro-RO"/>
              </w:rPr>
              <w:t>Data</w:t>
            </w:r>
          </w:p>
        </w:tc>
        <w:tc>
          <w:tcPr>
            <w:tcW w:w="3100" w:type="pct"/>
            <w:gridSpan w:val="2"/>
            <w:tcBorders>
              <w:top w:val="outset" w:color="auto" w:sz="6" w:space="0"/>
              <w:left w:val="outset" w:color="auto" w:sz="6" w:space="0"/>
              <w:bottom w:val="outset" w:color="auto" w:sz="6" w:space="0"/>
              <w:right w:val="outset" w:color="auto" w:sz="6" w:space="0"/>
            </w:tcBorders>
          </w:tcPr>
          <w:p w14:paraId="6B041355">
            <w:pPr>
              <w:spacing w:after="0" w:line="240" w:lineRule="auto"/>
              <w:jc w:val="left"/>
              <w:rPr>
                <w:rFonts w:ascii="Verdana" w:hAnsi="Verdana" w:eastAsia="Times New Roman" w:cs="Times New Roman"/>
                <w:color w:val="000000"/>
                <w:sz w:val="16"/>
                <w:szCs w:val="16"/>
                <w:lang w:eastAsia="ro-RO"/>
              </w:rPr>
            </w:pPr>
          </w:p>
        </w:tc>
      </w:tr>
    </w:tbl>
    <w:p w14:paraId="02A1FA6C">
      <w:pPr>
        <w:shd w:val="clear" w:color="auto" w:fill="FFFFFF"/>
        <w:spacing w:after="0" w:line="240" w:lineRule="auto"/>
        <w:rPr>
          <w:rFonts w:ascii="Verdana" w:hAnsi="Verdana" w:eastAsia="Times New Roman" w:cs="Times New Roman"/>
          <w:sz w:val="22"/>
          <w:lang w:eastAsia="ro-RO"/>
        </w:rPr>
      </w:pPr>
      <w:bookmarkStart w:id="5" w:name="do|caIV|ar31|al2|pa7"/>
      <w:bookmarkEnd w:id="5"/>
      <w:r>
        <w:rPr>
          <w:rFonts w:ascii="Verdana" w:hAnsi="Verdana" w:eastAsia="Times New Roman" w:cs="Times New Roman"/>
          <w:sz w:val="22"/>
          <w:lang w:eastAsia="ro-RO"/>
        </w:rPr>
        <w:t>_______</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753D0E"/>
    <w:multiLevelType w:val="singleLevel"/>
    <w:tmpl w:val="CD753D0E"/>
    <w:lvl w:ilvl="0" w:tentative="0">
      <w:start w:val="18"/>
      <w:numFmt w:val="decimal"/>
      <w:suff w:val="space"/>
      <w:lvlText w:val="%1."/>
      <w:lvlJc w:val="left"/>
      <w:pPr>
        <w:ind w:left="56" w:leftChars="0" w:firstLine="0" w:firstLineChars="0"/>
      </w:pPr>
    </w:lvl>
  </w:abstractNum>
  <w:abstractNum w:abstractNumId="1">
    <w:nsid w:val="7B452916"/>
    <w:multiLevelType w:val="singleLevel"/>
    <w:tmpl w:val="7B452916"/>
    <w:lvl w:ilvl="0" w:tentative="0">
      <w:start w:val="7"/>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NotDisplayPageBoundaries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03F"/>
    <w:rsid w:val="000E7BE7"/>
    <w:rsid w:val="00333F71"/>
    <w:rsid w:val="004F2083"/>
    <w:rsid w:val="004F23EF"/>
    <w:rsid w:val="006F0616"/>
    <w:rsid w:val="006F1312"/>
    <w:rsid w:val="009E7D5E"/>
    <w:rsid w:val="00CB403F"/>
    <w:rsid w:val="00E13321"/>
    <w:rsid w:val="00E74C20"/>
    <w:rsid w:val="00F406FD"/>
    <w:rsid w:val="04A7744E"/>
    <w:rsid w:val="2259503A"/>
    <w:rsid w:val="23E85B61"/>
    <w:rsid w:val="252C1E06"/>
    <w:rsid w:val="2AF64B41"/>
    <w:rsid w:val="3A4D5F09"/>
    <w:rsid w:val="3A5376E1"/>
    <w:rsid w:val="3E0A0699"/>
    <w:rsid w:val="4DD3102D"/>
    <w:rsid w:val="59931F66"/>
    <w:rsid w:val="59F74710"/>
    <w:rsid w:val="6A066BC4"/>
    <w:rsid w:val="6AD15F62"/>
    <w:rsid w:val="6FB11307"/>
    <w:rsid w:val="7866291A"/>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both"/>
    </w:pPr>
    <w:rPr>
      <w:rFonts w:ascii="Trebuchet MS" w:hAnsi="Trebuchet MS" w:eastAsiaTheme="minorHAnsi" w:cstheme="minorBidi"/>
      <w:sz w:val="24"/>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eastAsia="Arial Unicode MS"/>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tpa1"/>
    <w:basedOn w:val="2"/>
    <w:qFormat/>
    <w:uiPriority w:val="0"/>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1686</Words>
  <Characters>12134</Characters>
  <Lines>44</Lines>
  <Paragraphs>12</Paragraphs>
  <TotalTime>7</TotalTime>
  <ScaleCrop>false</ScaleCrop>
  <LinksUpToDate>false</LinksUpToDate>
  <CharactersWithSpaces>13675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2023-03-15T13:16:00Z</dcterms:created>
  <dc:creator>SilviaCretu417</dc:creator>
  <cp:lastModifiedBy>WPS_1706856187</cp:lastModifiedBy>
  <cp:lastPrinted>2026-09-28T08:32:13Z</cp:lastPrinted>
  <dcterms:modified xsi:type="dcterms:W3CDTF">2026-09-28T08:42:45Z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1469963F23EA48A8ADA2D828FB779EBE_13</vt:lpwstr>
  </property>
  <property fmtid="{D5CDD505-2E9C-101B-9397-08002B2CF9AE}" pid="4" name="KSOTemplateDocerSaveRecord">
    <vt:lpwstr>eyJoZGlkIjoiNzQ3ODU4YmQ3ZGNjYzdhZDlmMGI5NDI4YjczMGI4YWQiLCJ1c2VySWQiOiI1NTE1MjQ4MjUxMDM3In0=</vt:lpwstr>
  </property>
</Properties>
</file>